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Sustained Release Coating Market</w:t>
      </w:r>
    </w:p>
    <w:p>
      <w:r>
        <w:rPr>
          <w:i/>
        </w:rPr>
        <w:t>Geography: global     Companies: 4</w:t>
      </w:r>
    </w:p>
    <w:p>
      <w:pPr>
        <w:pStyle w:val="Heading1"/>
      </w:pPr>
      <w:r>
        <w:t>Distributors of Sustained Release Coating (3)</w:t>
      </w:r>
    </w:p>
    <w:p>
      <w:pPr>
        <w:ind w:left="360"/>
      </w:pPr>
      <w:r>
        <w:t xml:space="preserve">1. </w:t>
      </w:r>
      <w:r>
        <w:rPr>
          <w:b/>
        </w:rPr>
        <w:t>Brenntag AG</w:t>
      </w:r>
      <w:r>
        <w:t xml:space="preserve"> (Distributor of preferred)</w:t>
      </w:r>
    </w:p>
    <w:p>
      <w:pPr>
        <w:ind w:left="360"/>
      </w:pPr>
      <w:r>
        <w:t xml:space="preserve">2. </w:t>
      </w:r>
      <w:r>
        <w:rPr>
          <w:b/>
        </w:rPr>
        <w:t>Momentive Performance Materials</w:t>
      </w:r>
      <w:r>
        <w:t xml:space="preserve"> (Distributor of momentive)</w:t>
      </w:r>
    </w:p>
    <w:p>
      <w:pPr>
        <w:ind w:left="360"/>
      </w:pPr>
      <w:r>
        <w:t xml:space="preserve">3. </w:t>
      </w:r>
      <w:r>
        <w:rPr>
          <w:b/>
        </w:rPr>
        <w:t>Solvay S.A.</w:t>
      </w:r>
      <w:r>
        <w:t xml:space="preserve"> (Distributor of searching)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Univar Solutions</w:t>
      </w:r>
      <w:r>
        <w:t xml:space="preserve"> (Participant in correctly)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