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Tauopathies Treatment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Tauopathies Treatment (8)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Pharmaceutical Distribution)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Neurodegenerative treatment)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Specialty distribution services)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Rare Disease Distribution)</w:t>
      </w:r>
    </w:p>
    <w:p>
      <w:pPr>
        <w:ind w:left="360"/>
      </w:pPr>
      <w:r>
        <w:t xml:space="preserve">5. </w:t>
      </w:r>
      <w:r>
        <w:rPr>
          <w:b/>
        </w:rPr>
        <w:t>Fresenius Kabi</w:t>
      </w:r>
      <w:r>
        <w:t xml:space="preserve"> (Distributor of Clinical trial services)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treatment management systems)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neurodegenerative disease treatments)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(Distributor of Next Generation Sequencers)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Amedisys</w:t>
      </w:r>
      <w:r>
        <w:t xml:space="preserve"> (Participant in Specialty Programs)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Health Services)</w:t>
      </w:r>
    </w:p>
    <w:p>
      <w:pPr>
        <w:ind w:left="360"/>
      </w:pPr>
      <w:r>
        <w:t xml:space="preserve">3. </w:t>
      </w:r>
      <w:r>
        <w:rPr>
          <w:b/>
        </w:rPr>
        <w:t>OptumRx</w:t>
      </w:r>
      <w:r>
        <w:t xml:space="preserve"> (Participant in Neurodegenerative disease treatment)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Patient support services)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Neurodegenerative treatment)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