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Tocopherols Market</w:t>
      </w:r>
    </w:p>
    <w:p>
      <w:r>
        <w:rPr>
          <w:i/>
        </w:rPr>
        <w:t>Geography: global     Companies: 4</w:t>
      </w:r>
    </w:p>
    <w:p>
      <w:pPr>
        <w:pStyle w:val="Heading1"/>
      </w:pPr>
      <w:r>
        <w:t>Distributors of Tocopherols (3)</w:t>
      </w:r>
    </w:p>
    <w:p>
      <w:pPr>
        <w:ind w:left="360"/>
      </w:pPr>
      <w:r>
        <w:t xml:space="preserve">1. </w:t>
      </w:r>
      <w:r>
        <w:rPr>
          <w:b/>
        </w:rPr>
        <w:t>Btsa</w:t>
      </w:r>
      <w:r>
        <w:t xml:space="preserve"> (Distributor of Nutrabiol)</w:t>
      </w:r>
    </w:p>
    <w:p>
      <w:pPr>
        <w:ind w:left="360"/>
      </w:pPr>
      <w:r>
        <w:t xml:space="preserve">2. </w:t>
      </w:r>
      <w:r>
        <w:rPr>
          <w:b/>
        </w:rPr>
        <w:t>Nutraceutical</w:t>
      </w:r>
      <w:r>
        <w:t xml:space="preserve"> (Distributor of Nutritional Supplements)</w:t>
      </w:r>
    </w:p>
    <w:p>
      <w:pPr>
        <w:ind w:left="360"/>
      </w:pPr>
      <w:r>
        <w:t xml:space="preserve">3. </w:t>
      </w:r>
      <w:r>
        <w:rPr>
          <w:b/>
        </w:rPr>
        <w:t>Univar Solutions</w:t>
      </w:r>
      <w:r>
        <w:t xml:space="preserve"> (Distributor of Formulation Services)</w:t>
      </w:r>
    </w:p>
    <w:p>
      <w:pPr>
        <w:pStyle w:val="Heading1"/>
      </w:pPr>
      <w:r>
        <w:t>Other (1)</w:t>
      </w:r>
    </w:p>
    <w:p>
      <w:pPr>
        <w:ind w:left="360"/>
      </w:pPr>
      <w:r>
        <w:t xml:space="preserve">1. </w:t>
      </w:r>
      <w:r>
        <w:rPr>
          <w:b/>
        </w:rPr>
        <w:t>Brenntag AG</w:t>
      </w:r>
      <w:r>
        <w:t xml:space="preserve"> (Participant in Formulation Services)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