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U.K. Cell and Gene Therapy Research Challenges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Cell And Gene Therapy Research Challenges (5)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Bioscience</w:t>
      </w:r>
      <w:r>
        <w:t xml:space="preserve"> (Distributor of basket)</w:t>
      </w:r>
    </w:p>
    <w:p>
      <w:pPr>
        <w:ind w:left="360"/>
      </w:pPr>
      <w:r>
        <w:t xml:space="preserve">3.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(Distributor of life science products for Cell and Gene Therapy Research Challenges)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reseller of biotech products for Cell and Gene Therapy Research Challenges)</w:t>
      </w:r>
    </w:p>
    <w:p>
      <w:pPr>
        <w:ind w:left="360"/>
      </w:pPr>
      <w:r>
        <w:t xml:space="preserve">2. </w:t>
      </w:r>
      <w:r>
        <w:rPr>
          <w:b/>
        </w:rPr>
        <w:t>Biotech Today</w:t>
      </w:r>
      <w:r>
        <w:t xml:space="preserve"> (Participant in disclaimer)</w:t>
      </w:r>
    </w:p>
    <w:p>
      <w:pPr>
        <w:ind w:left="360"/>
      </w:pPr>
      <w:r>
        <w:t xml:space="preserve">3. </w:t>
      </w:r>
      <w:r>
        <w:rPr>
          <w:b/>
        </w:rPr>
        <w:t>Eppendorf AG</w:t>
      </w:r>
      <w:r>
        <w:t xml:space="preserve"> (Participant in skiptonavigation)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Lonza Group</w:t>
      </w:r>
      <w:r>
        <w:t xml:space="preserve"> (Participant in integrated)</w:t>
      </w:r>
    </w:p>
    <w:p>
      <w:pPr>
        <w:ind w:left="360"/>
      </w:pPr>
      <w:r>
        <w:t xml:space="preserve">6. </w:t>
      </w:r>
      <w:r>
        <w:rPr>
          <w:b/>
        </w:rPr>
        <w:t>MilliporeSigma</w:t>
      </w:r>
      <w:r>
        <w:t xml:space="preserve"> (Participant in laboratory)</w:t>
      </w:r>
    </w:p>
    <w:p>
      <w:pPr>
        <w:ind w:left="360"/>
      </w:pPr>
      <w:r>
        <w:t xml:space="preserve">7.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8.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9. </w:t>
      </w:r>
      <w:r>
        <w:rPr>
          <w:b/>
        </w:rPr>
        <w:t>Sartorius AG</w:t>
      </w:r>
      <w:r>
        <w:t xml:space="preserve"> (Participant in product)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