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Ulcerative Colitis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Ulcerative Colitis (10)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principles)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Biologics</w:t>
      </w:r>
      <w:r>
        <w:t xml:space="preserve"> (Distributor of homogenizers)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Entyvio</w:t>
      </w:r>
      <w:r>
        <w:t xml:space="preserve"> (Distributor of information)</w:t>
      </w:r>
    </w:p>
    <w:p>
      <w:pPr>
        <w:ind w:left="360"/>
      </w:pPr>
      <w:r>
        <w:t xml:space="preserve">6. </w:t>
      </w:r>
      <w:r>
        <w:rPr>
          <w:b/>
        </w:rPr>
        <w:t>Gastrohealth</w:t>
      </w:r>
      <w:r>
        <w:t xml:space="preserve"> (Distributor of gastro)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Remicade</w:t>
      </w:r>
      <w:r>
        <w:t xml:space="preserve"> (Distributor of information)</w:t>
      </w:r>
    </w:p>
    <w:p>
      <w:pPr>
        <w:ind w:left="360"/>
      </w:pPr>
      <w:r>
        <w:t xml:space="preserve">9. </w:t>
      </w:r>
      <w:r>
        <w:rPr>
          <w:b/>
        </w:rPr>
        <w:t>Simponihcp</w:t>
      </w:r>
      <w:r>
        <w:t xml:space="preserve"> (Distributor of providers)</w:t>
      </w:r>
    </w:p>
    <w:p>
      <w:pPr>
        <w:ind w:left="360"/>
      </w:pPr>
      <w:r>
        <w:t xml:space="preserve">10. </w:t>
      </w:r>
      <w:r>
        <w:rPr>
          <w:b/>
        </w:rPr>
        <w:t>Stelarahcp</w:t>
      </w:r>
      <w:r>
        <w:t xml:space="preserve"> (Distributor of disease)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Celesio AG</w:t>
      </w:r>
      <w:r>
        <w:t xml:space="preserve"> (Participant in healthcare service provider for Ulcerative Colitis)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Gigeorgia</w:t>
      </w:r>
      <w:r>
        <w:t xml:space="preserve"> (Participant in colonoscopy)</w:t>
      </w:r>
    </w:p>
    <w:p>
      <w:pPr>
        <w:ind w:left="360"/>
      </w:pPr>
      <w:r>
        <w:t xml:space="preserve">5.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6.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7.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9.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