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Desktop Infrastructure (VDI)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Virtual Desktop Infrastructure (7)</w:t>
      </w:r>
    </w:p>
    <w:p>
      <w:pPr>
        <w:ind w:left="360"/>
      </w:pPr>
      <w:r>
        <w:t xml:space="preserve">1. </w:t>
      </w:r>
      <w:r>
        <w:rPr>
          <w:b/>
        </w:rPr>
        <w:t>Cisco Systems,</w:t>
      </w:r>
      <w:r>
        <w:t xml:space="preserve"> (Distributor of worldwide)</w:t>
      </w:r>
    </w:p>
    <w:p>
      <w:pPr>
        <w:ind w:left="360"/>
      </w:pPr>
      <w:r>
        <w:t xml:space="preserve">2. </w:t>
      </w:r>
      <w:r>
        <w:rPr>
          <w:b/>
        </w:rPr>
        <w:t>Cloud4u</w:t>
      </w:r>
      <w:r>
        <w:t xml:space="preserve"> (Distributor of registration)</w:t>
      </w:r>
    </w:p>
    <w:p>
      <w:pPr>
        <w:ind w:left="360"/>
      </w:pPr>
      <w:r>
        <w:t xml:space="preserve">3.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4. </w:t>
      </w:r>
      <w:r>
        <w:rPr>
          <w:b/>
        </w:rPr>
        <w:t>Kasm</w:t>
      </w:r>
      <w:r>
        <w:t xml:space="preserve"> (Distributor of platform)</w:t>
      </w:r>
    </w:p>
    <w:p>
      <w:pPr>
        <w:ind w:left="360"/>
      </w:pPr>
      <w:r>
        <w:t xml:space="preserve">5. </w:t>
      </w:r>
      <w:r>
        <w:rPr>
          <w:b/>
        </w:rPr>
        <w:t>Synnex</w:t>
      </w:r>
      <w:r>
        <w:t xml:space="preserve"> (Distributor of application)</w:t>
      </w:r>
    </w:p>
    <w:p>
      <w:pPr>
        <w:ind w:left="360"/>
      </w:pPr>
      <w:r>
        <w:t xml:space="preserve">6. </w:t>
      </w:r>
      <w:r>
        <w:rPr>
          <w:b/>
        </w:rPr>
        <w:t>Tech Data</w:t>
      </w:r>
      <w:r>
        <w:t xml:space="preserve"> (Distributor of destination)</w:t>
      </w:r>
    </w:p>
    <w:p>
      <w:pPr>
        <w:ind w:left="360"/>
      </w:pPr>
      <w:r>
        <w:t xml:space="preserve">7. </w:t>
      </w:r>
      <w:r>
        <w:rPr>
          <w:b/>
        </w:rPr>
        <w:t>Vdeskworks</w:t>
      </w:r>
      <w:r>
        <w:t xml:space="preserve"> (Distributor of features)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Citrix Systems,</w:t>
      </w:r>
      <w:r>
        <w:t xml:space="preserve"> (Participant in platform)</w:t>
      </w:r>
    </w:p>
    <w:p>
      <w:pPr>
        <w:ind w:left="360"/>
      </w:pPr>
      <w:r>
        <w:t xml:space="preserve">2. </w:t>
      </w:r>
      <w:r>
        <w:rPr>
          <w:b/>
        </w:rPr>
        <w:t>Nutanix,</w:t>
      </w:r>
      <w:r>
        <w:t xml:space="preserve"> (Participant in deutschland)</w:t>
      </w:r>
    </w:p>
    <w:p>
      <w:pPr>
        <w:ind w:left="360"/>
      </w:pPr>
      <w:r>
        <w:t xml:space="preserve">3. </w:t>
      </w:r>
      <w:r>
        <w:rPr>
          <w:b/>
        </w:rPr>
        <w:t>Scalecomputing</w:t>
      </w:r>
      <w:r>
        <w:t xml:space="preserve"> (Participant in computing)</w:t>
      </w:r>
    </w:p>
    <w:p>
      <w:pPr>
        <w:ind w:left="360"/>
      </w:pPr>
      <w:r>
        <w:t xml:space="preserve">4. </w:t>
      </w:r>
      <w:r>
        <w:rPr>
          <w:b/>
        </w:rPr>
        <w:t>Softchoice</w:t>
      </w:r>
      <w:r>
        <w:t xml:space="preserve"> (Participant in supported)</w:t>
      </w:r>
    </w:p>
    <w:p>
      <w:pPr>
        <w:ind w:left="360"/>
      </w:pPr>
      <w:r>
        <w:t xml:space="preserve">5. </w:t>
      </w:r>
      <w:r>
        <w:rPr>
          <w:b/>
        </w:rPr>
        <w:t>Thin Nology</w:t>
      </w:r>
      <w:r>
        <w:t xml:space="preserve"> (Participant in colocation)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