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Therapy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Vitamin D Therapy (4)</w:t>
      </w:r>
    </w:p>
    <w:p>
      <w:pPr>
        <w:ind w:left="360"/>
      </w:pPr>
      <w:r>
        <w:t xml:space="preserve">1. </w:t>
      </w:r>
      <w:r>
        <w:rPr>
          <w:b/>
        </w:rPr>
        <w:t>Cardinal Health,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United Natural Foods,</w:t>
      </w:r>
      <w:r>
        <w:t xml:space="preserve"> (Distributor of unsuccessful)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GNC Holdings,</w:t>
      </w:r>
      <w:r>
        <w:t xml:space="preserve"> (Participant in nutritional supplement retailer for Vitamin D Therapy)</w:t>
      </w:r>
    </w:p>
    <w:p>
      <w:pPr>
        <w:ind w:left="360"/>
      </w:pPr>
      <w:r>
        <w:t xml:space="preserve">2. </w:t>
      </w:r>
      <w:r>
        <w:rPr>
          <w:b/>
        </w:rPr>
        <w:t>Patterson Companies,</w:t>
      </w:r>
      <w:r>
        <w:t xml:space="preserve"> (Participant in healthcare distribution and services for Vitamin D Therapy)</w:t>
      </w:r>
    </w:p>
    <w:p>
      <w:pPr>
        <w:ind w:left="360"/>
      </w:pPr>
      <w:r>
        <w:t xml:space="preserve">3. </w:t>
      </w:r>
      <w:r>
        <w:rPr>
          <w:b/>
        </w:rPr>
        <w:t>Swanson Health Products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Vitacost.com,</w:t>
      </w:r>
      <w:r>
        <w:t xml:space="preserve"> (Participant in create)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