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Water Based Colloidal Graphite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Water Based Colloidal Graphite (5)</w:t>
      </w:r>
    </w:p>
    <w:p>
      <w:pPr>
        <w:ind w:left="360"/>
      </w:pPr>
      <w:r>
        <w:t xml:space="preserve">1. </w:t>
      </w:r>
      <w:r>
        <w:rPr>
          <w:b/>
        </w:rPr>
        <w:t>Alfa Aesar</w:t>
      </w:r>
      <w:r>
        <w:t xml:space="preserve"> (Distributor of alfaaesar)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3. </w:t>
      </w:r>
      <w:r>
        <w:rPr>
          <w:b/>
        </w:rPr>
        <w:t>Graphite</w:t>
      </w:r>
      <w:r>
        <w:t xml:space="preserve"> (Distributor of volunteer)</w:t>
      </w:r>
    </w:p>
    <w:p>
      <w:pPr>
        <w:ind w:left="360"/>
      </w:pPr>
      <w:r>
        <w:t xml:space="preserve">4. </w:t>
      </w:r>
      <w:r>
        <w:rPr>
          <w:b/>
        </w:rPr>
        <w:t>Merck Group</w:t>
      </w:r>
      <w:r>
        <w:t xml:space="preserve"> (Distributor of redirect)</w:t>
      </w:r>
    </w:p>
    <w:p>
      <w:pPr>
        <w:ind w:left="360"/>
      </w:pPr>
      <w:r>
        <w:t xml:space="preserve">5. </w:t>
      </w:r>
      <w:r>
        <w:rPr>
          <w:b/>
        </w:rPr>
        <w:t>VWR International</w:t>
      </w:r>
      <w:r>
        <w:t xml:space="preserve"> (Distributor of Chemicals and materials including graphite)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Honeywell</w:t>
      </w:r>
      <w:r>
        <w:t xml:space="preserve"> (Participant in technologies)</w:t>
      </w:r>
    </w:p>
    <w:p>
      <w:pPr>
        <w:ind w:left="360"/>
      </w:pPr>
      <w:r>
        <w:t xml:space="preserve">2. </w:t>
      </w:r>
      <w:r>
        <w:rPr>
          <w:b/>
        </w:rPr>
        <w:t>Parker Hannifin</w:t>
      </w:r>
      <w:r>
        <w:t xml:space="preserve"> (Participant in protected)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