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Biotechnology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White Biotechnology (3)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(Distributor of quarterly)</w:t>
      </w:r>
    </w:p>
    <w:p>
      <w:pPr>
        <w:ind w:left="360"/>
      </w:pPr>
      <w:r>
        <w:t xml:space="preserve">2. </w:t>
      </w:r>
      <w:r>
        <w:rPr>
          <w:b/>
        </w:rPr>
        <w:t>Cargill</w:t>
      </w:r>
      <w:r>
        <w:t xml:space="preserve"> (Distributor of approach)</w:t>
      </w:r>
    </w:p>
    <w:p>
      <w:pPr>
        <w:ind w:left="360"/>
      </w:pPr>
      <w:r>
        <w:t xml:space="preserve">3. </w:t>
      </w:r>
      <w:r>
        <w:rPr>
          <w:b/>
        </w:rPr>
        <w:t>Distributors - WORLD BIOPRODUCTS</w:t>
      </w:r>
      <w:r>
        <w:t xml:space="preserve"> (Distributor of information)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bioproducts, biotechnology services)</w:t>
      </w:r>
    </w:p>
    <w:p>
      <w:pPr>
        <w:ind w:left="360"/>
      </w:pPr>
      <w:r>
        <w:t xml:space="preserve">2. </w:t>
      </w:r>
      <w:r>
        <w:rPr>
          <w:b/>
        </w:rPr>
        <w:t>Evonik Industries</w:t>
      </w:r>
      <w:r>
        <w:t xml:space="preserve"> (Participant in additive)</w:t>
      </w:r>
    </w:p>
    <w:p>
      <w:pPr>
        <w:ind w:left="360"/>
      </w:pPr>
      <w:r>
        <w:t xml:space="preserve">3. </w:t>
      </w:r>
      <w:r>
        <w:rPr>
          <w:b/>
        </w:rPr>
        <w:t>Genomatica</w:t>
      </w:r>
      <w:r>
        <w:t xml:space="preserve"> (Participant in impact)</w:t>
      </w:r>
    </w:p>
    <w:p>
      <w:pPr>
        <w:ind w:left="360"/>
      </w:pPr>
      <w:r>
        <w:t xml:space="preserve">4. </w:t>
      </w:r>
      <w:r>
        <w:rPr>
          <w:b/>
        </w:rPr>
        <w:t>Ginkgo Bioworks</w:t>
      </w:r>
      <w:r>
        <w:t xml:space="preserve"> (Participant in software)</w:t>
      </w:r>
    </w:p>
    <w:p>
      <w:pPr>
        <w:ind w:left="360"/>
      </w:pPr>
      <w:r>
        <w:t xml:space="preserve">5. </w:t>
      </w:r>
      <w:r>
        <w:rPr>
          <w:b/>
        </w:rPr>
        <w:t>Merck Group</w:t>
      </w:r>
      <w:r>
        <w:t xml:space="preserve"> (Participant in redirect)</w:t>
      </w:r>
    </w:p>
    <w:p>
      <w:pPr>
        <w:ind w:left="360"/>
      </w:pPr>
      <w:r>
        <w:t xml:space="preserve">6. </w:t>
      </w:r>
      <w:r>
        <w:rPr>
          <w:b/>
        </w:rPr>
        <w:t>Sartorius</w:t>
      </w:r>
      <w:r>
        <w:t xml:space="preserve"> (Participant in product)</w:t>
      </w:r>
    </w:p>
    <w:p>
      <w:pPr>
        <w:ind w:left="360"/>
      </w:pPr>
      <w:r>
        <w:t xml:space="preserve">7. </w:t>
      </w:r>
      <w:r>
        <w:rPr>
          <w:b/>
        </w:rPr>
        <w:t>Syngenta</w:t>
      </w:r>
      <w:r>
        <w:t xml:space="preserve"> (Participant in submenu)</w:t>
      </w:r>
    </w:p>
    <w:p>
      <w:pPr>
        <w:ind w:left="360"/>
      </w:pPr>
      <w:r>
        <w:t xml:space="preserve">8.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