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r3xefl314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zgioa68w1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Pricing Structure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pricing is designed to be accessible and provide value to schools while maximizing the impact on students.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Price</w:t>
      </w:r>
      <w:r w:rsidDel="00000000" w:rsidR="00000000" w:rsidRPr="00000000">
        <w:rPr>
          <w:rtl w:val="0"/>
        </w:rPr>
        <w:t xml:space="preserve">: Partnerships start at $500 per month.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 Matching</w:t>
      </w:r>
      <w:r w:rsidDel="00000000" w:rsidR="00000000" w:rsidRPr="00000000">
        <w:rPr>
          <w:rtl w:val="0"/>
        </w:rPr>
        <w:t xml:space="preserve">: For every dollar a school contributes, Coins For College matches an equivalent value in student rewards. For instance, a $2500 monthly contribution results in an additional $2500 in rewards distributed among the students from that school.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Neutrality</w:t>
      </w:r>
      <w:r w:rsidDel="00000000" w:rsidR="00000000" w:rsidRPr="00000000">
        <w:rPr>
          <w:rtl w:val="0"/>
        </w:rPr>
        <w:t xml:space="preserve">: Schools already allocate budgets for student engagement initiatives. RFE reallocates this spending efficiently, making the app effectively cost-neutral.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9yn1iloy9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Safety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RFE prioritizes child data safety and is compliant with the highest standards.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Data Collection</w:t>
      </w:r>
      <w:r w:rsidDel="00000000" w:rsidR="00000000" w:rsidRPr="00000000">
        <w:rPr>
          <w:rtl w:val="0"/>
        </w:rPr>
        <w:t xml:space="preserve">: The only student data we hold is provided by the schools, such as attendance records and task participation. We do not collect personal or contact information directly from children.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COPPA Compliance</w:t>
      </w:r>
      <w:r w:rsidDel="00000000" w:rsidR="00000000" w:rsidRPr="00000000">
        <w:rPr>
          <w:rtl w:val="0"/>
        </w:rPr>
        <w:t xml:space="preserve">: Fully compliant with the Children's Online Privacy Protection Act (COPPA), ensuring children’s privacy remains protected.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Adherence</w:t>
      </w:r>
      <w:r w:rsidDel="00000000" w:rsidR="00000000" w:rsidRPr="00000000">
        <w:rPr>
          <w:rtl w:val="0"/>
        </w:rPr>
        <w:t xml:space="preserve">: Adhering to the General Data Protection Regulation (GDPR) for stringent data safety practices.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Social Features</w:t>
      </w:r>
      <w:r w:rsidDel="00000000" w:rsidR="00000000" w:rsidRPr="00000000">
        <w:rPr>
          <w:rtl w:val="0"/>
        </w:rPr>
        <w:t xml:space="preserve">: The app does not include any communication or social functionalities for children, except where parents and teachers interact responsibly.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Rewards for Education guarantees a secure, child-safe environment while delivering value to both schools and students.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