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DOC-ACCT-002: Organisation setup and project structure</w:t>
      </w:r>
    </w:p>
    <w:p>
      <w:r>
        <w:t>Category: account | Applies To: All plans</w:t>
      </w:r>
    </w:p>
    <w:p>
      <w:pPr>
        <w:pStyle w:val="Heading2"/>
      </w:pPr>
      <w:r>
        <w:t>Organisation setup and project structure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Resources are difficult to separate for billing</w:t>
      </w:r>
    </w:p>
    <w:p>
      <w:r>
        <w:t>- Environments are sharing configuration unintentionally</w:t>
      </w:r>
    </w:p>
    <w:p>
      <w:r>
        <w:t>- A project needs moving between organisations</w:t>
      </w:r>
    </w:p>
    <w:p>
      <w:pPr>
        <w:pStyle w:val="Heading2"/>
      </w:pPr>
      <w:r>
        <w:t>Common causes</w:t>
      </w:r>
    </w:p>
    <w:p>
      <w:r>
        <w:t>- Environments were created as folders within one project rather than as separate projects</w:t>
      </w:r>
    </w:p>
    <w:p>
      <w:r>
        <w:t>- Configuration was set at organisation scope and inherited everywhere</w:t>
      </w:r>
    </w:p>
    <w:p>
      <w:r>
        <w:t>- Projects cannot move between organisations without a migration</w:t>
      </w:r>
    </w:p>
    <w:p>
      <w:pPr>
        <w:pStyle w:val="Heading2"/>
      </w:pPr>
      <w:r>
        <w:t>Resolution</w:t>
      </w:r>
    </w:p>
    <w:p>
      <w:r>
        <w:t>1. Use a separate project per environment where isolation of configuration and billing matters. Folders within a project share configuration by design.</w:t>
      </w:r>
    </w:p>
    <w:p>
      <w:r>
        <w:t>2. Set shared values at organisation scope and override at project scope, rather than repeating values in every project.</w:t>
      </w:r>
    </w:p>
    <w:p>
      <w:r>
        <w:t>3. Plan project structure around who should be able to see what, since permissions are granted at project scope most naturally.</w:t>
      </w:r>
    </w:p>
    <w:p>
      <w:r>
        <w:t>4. Contact support for a project migration between organisations, which requires a short maintenance window.</w:t>
      </w:r>
    </w:p>
    <w:p>
      <w:pPr>
        <w:pStyle w:val="Heading2"/>
      </w:pPr>
      <w:r>
        <w:t>Notes</w:t>
      </w:r>
    </w:p>
    <w:p>
      <w:r>
        <w:t>Project names appear in resource identifiers and cannot be changed after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