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DOC-BILL-003: Usage limits, overage and spend controls</w:t>
      </w:r>
    </w:p>
    <w:p>
      <w:r>
        <w:t>Category: billing | Applies To: All plans</w:t>
      </w:r>
    </w:p>
    <w:p>
      <w:pPr>
        <w:pStyle w:val="Heading2"/>
      </w:pPr>
      <w:r>
        <w:t>Usage limits, overage and spend controls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Service was throttled after a traffic increase</w:t>
      </w:r>
    </w:p>
    <w:p>
      <w:r>
        <w:t>- Overage charges appeared unexpectedly</w:t>
      </w:r>
    </w:p>
    <w:p>
      <w:r>
        <w:t>- A spend cap stopped a production workload</w:t>
      </w:r>
    </w:p>
    <w:p>
      <w:pPr>
        <w:pStyle w:val="Heading2"/>
      </w:pPr>
      <w:r>
        <w:t>Common causes</w:t>
      </w:r>
    </w:p>
    <w:p>
      <w:r>
        <w:t>- Plan allowance was consumed before the end of the period</w:t>
      </w:r>
    </w:p>
    <w:p>
      <w:r>
        <w:t>- A spend cap was configured and reached</w:t>
      </w:r>
    </w:p>
    <w:p>
      <w:r>
        <w:t>- Overage protection is disabled, so usage continued beyond the allowance</w:t>
      </w:r>
    </w:p>
    <w:p>
      <w:pPr>
        <w:pStyle w:val="Heading2"/>
      </w:pPr>
      <w:r>
        <w:t>Resolution</w:t>
      </w:r>
    </w:p>
    <w:p>
      <w:r>
        <w:t>1. Check the current period usage against the plan allowance on the billing page.</w:t>
      </w:r>
    </w:p>
    <w:p>
      <w:r>
        <w:t>2. Decide deliberately between a hard spend cap, which stops the service, and overage, which continues at the listed rate. Production workloads generally need the second.</w:t>
      </w:r>
    </w:p>
    <w:p>
      <w:r>
        <w:t>3. Configure alerts at fifty, eighty and ninety-five per cent of allowance rather than relying on the cap as a warning.</w:t>
      </w:r>
    </w:p>
    <w:p>
      <w:r>
        <w:t>4. Where a cap has stopped a production service, an account owner can raise it immediately from the billing page and service resumes within a minute.</w:t>
      </w:r>
    </w:p>
    <w:p>
      <w:pPr>
        <w:pStyle w:val="Heading2"/>
      </w:pPr>
      <w:r>
        <w:t>Notes</w:t>
      </w:r>
    </w:p>
    <w:p>
      <w:r>
        <w:t>Spend caps apply per organisation and cannot currently be set per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