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DOC-ONB-001: First deployment: a walkthrough</w:t>
      </w:r>
    </w:p>
    <w:p>
      <w:r>
        <w:t>Category: onboarding | Applies To: All plans</w:t>
      </w:r>
    </w:p>
    <w:p>
      <w:pPr>
        <w:pStyle w:val="Heading2"/>
      </w:pPr>
      <w:r>
        <w:t>First deployment: a walkthrough</w:t>
      </w:r>
    </w:p>
    <w:p>
      <w:r>
        <w:t>**Applies to:** All plans</w:t>
      </w:r>
    </w:p>
    <w:p>
      <w:pPr>
        <w:pStyle w:val="Heading2"/>
      </w:pPr>
      <w:r>
        <w:t>Symptoms</w:t>
      </w:r>
    </w:p>
    <w:p>
      <w:r>
        <w:t>- A new user does not know where to begin</w:t>
      </w:r>
    </w:p>
    <w:p>
      <w:r>
        <w:t>- The first deployment fails for unclear reasons</w:t>
      </w:r>
    </w:p>
    <w:p>
      <w:pPr>
        <w:pStyle w:val="Heading2"/>
      </w:pPr>
      <w:r>
        <w:t>Common causes</w:t>
      </w:r>
    </w:p>
    <w:p>
      <w:r>
        <w:t>- Required configuration has not been set</w:t>
      </w:r>
    </w:p>
    <w:p>
      <w:r>
        <w:t>- The project structure does not match what the build expects</w:t>
      </w:r>
    </w:p>
    <w:p>
      <w:pPr>
        <w:pStyle w:val="Heading2"/>
      </w:pPr>
      <w:r>
        <w:t>Resolution</w:t>
      </w:r>
    </w:p>
    <w:p>
      <w:r>
        <w:t>1. Create a project, then a service within it. Resources belong to services and services belong to projects.</w:t>
      </w:r>
    </w:p>
    <w:p>
      <w:r>
        <w:t>2. Connect a repository or push a container image. The build service detects common project layouts automatically.</w:t>
      </w:r>
    </w:p>
    <w:p>
      <w:r>
        <w:t>3. Set any environment variables the application needs before the first deployment rather than after it.</w:t>
      </w:r>
    </w:p>
    <w:p>
      <w:r>
        <w:t>4. Deploy, then watch the logs for the first sixty seconds. Most first-deployment problems are visible immediately in startup output.</w:t>
      </w:r>
    </w:p>
    <w:p>
      <w:pPr>
        <w:pStyle w:val="Heading2"/>
      </w:pPr>
      <w:r>
        <w:t>Notes</w:t>
      </w:r>
    </w:p>
    <w:p>
      <w:r>
        <w:t>The free tier includes one service and is sufficient for evaluating the platform.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