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DOC-SEC-001: Responding to a suspected account compromise</w:t>
      </w:r>
    </w:p>
    <w:p>
      <w:r>
        <w:t>Category: security | Applies To: All plans</w:t>
      </w:r>
    </w:p>
    <w:p>
      <w:pPr>
        <w:pStyle w:val="Heading2"/>
      </w:pPr>
      <w:r>
        <w:t>Responding to a suspected account compromise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Unrecognised activity appears in the audit log</w:t>
      </w:r>
    </w:p>
    <w:p>
      <w:r>
        <w:t>- A user reports credentials may have been exposed</w:t>
      </w:r>
    </w:p>
    <w:p>
      <w:r>
        <w:t>- Resources were created that nobody claims</w:t>
      </w:r>
    </w:p>
    <w:p>
      <w:pPr>
        <w:pStyle w:val="Heading2"/>
      </w:pPr>
      <w:r>
        <w:t>Common causes</w:t>
      </w:r>
    </w:p>
    <w:p>
      <w:r>
        <w:t>- Credentials were reused from a service that suffered a breach</w:t>
      </w:r>
    </w:p>
    <w:p>
      <w:r>
        <w:t>- An API key was committed to a public repository</w:t>
      </w:r>
    </w:p>
    <w:p>
      <w:r>
        <w:t>- A former team member retained access after leaving</w:t>
      </w:r>
    </w:p>
    <w:p>
      <w:pPr>
        <w:pStyle w:val="Heading2"/>
      </w:pPr>
      <w:r>
        <w:t>Resolution</w:t>
      </w:r>
    </w:p>
    <w:p>
      <w:r>
        <w:t>1. Revoke all API keys for the affected account immediately. This is disruptive and it is the correct first action.</w:t>
      </w:r>
    </w:p>
    <w:p>
      <w:r>
        <w:t>2. Force a password reset and terminate active sessions for the affected users from the team members page.</w:t>
      </w:r>
    </w:p>
    <w:p>
      <w:r>
        <w:t>3. Review the audit log for the period in question, filtering by the affected user, and record anything unexpected before it ages out.</w:t>
      </w:r>
    </w:p>
    <w:p>
      <w:r>
        <w:t>4. Enable multi-factor authentication for all users if it is not already mandatory for the organisation.</w:t>
      </w:r>
    </w:p>
    <w:p>
      <w:pPr>
        <w:pStyle w:val="Heading2"/>
      </w:pPr>
      <w:r>
        <w:t>Notes</w:t>
      </w:r>
    </w:p>
    <w:p>
      <w:r>
        <w:t>Audit logs are retained for ninety days on Business plans and one year on Enterprise. Export them promptly during an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