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DOC-BILL-001: Understanding your invoice and usage breakdown</w:t>
      </w:r>
    </w:p>
    <w:p>
      <w:r>
        <w:t>Category: billing | Applies To: All plans</w:t>
      </w:r>
    </w:p>
    <w:p>
      <w:pPr>
        <w:pStyle w:val="Heading2"/>
      </w:pPr>
      <w:r>
        <w:t>Understanding your invoice and usage breakdown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The invoice is higher than expected</w:t>
      </w:r>
    </w:p>
    <w:p>
      <w:r>
        <w:t>- Charges appear for a service that is not in use</w:t>
      </w:r>
    </w:p>
    <w:p>
      <w:r>
        <w:t>- The billing period does not align with the calendar month</w:t>
      </w:r>
    </w:p>
    <w:p>
      <w:pPr>
        <w:pStyle w:val="Heading2"/>
      </w:pPr>
      <w:r>
        <w:t>Common causes</w:t>
      </w:r>
    </w:p>
    <w:p>
      <w:r>
        <w:t>- Usage-based charges accrued beyond the plan allowance</w:t>
      </w:r>
    </w:p>
    <w:p>
      <w:r>
        <w:t>- A resource was left running in a non-production environment</w:t>
      </w:r>
    </w:p>
    <w:p>
      <w:r>
        <w:t>- The billing period runs from the subscription date rather than the first of the month</w:t>
      </w:r>
    </w:p>
    <w:p>
      <w:pPr>
        <w:pStyle w:val="Heading2"/>
      </w:pPr>
      <w:r>
        <w:t>Resolution</w:t>
      </w:r>
    </w:p>
    <w:p>
      <w:r>
        <w:t>1. Open the usage breakdown for the period, which itemises charges by service and by environment.</w:t>
      </w:r>
    </w:p>
    <w:p>
      <w:r>
        <w:t>2. Look for resources in staging or development environments, which are billed at the same rate as production.</w:t>
      </w:r>
    </w:p>
    <w:p>
      <w:r>
        <w:t>3. Check the billing period dates at the top of the invoice. The period runs from the anniversary of the subscription date.</w:t>
      </w:r>
    </w:p>
    <w:p>
      <w:r>
        <w:t>4. Set a usage alert on the billing page so that unexpected accrual is noticed during the period rather than at the end of it.</w:t>
      </w:r>
    </w:p>
    <w:p>
      <w:pPr>
        <w:pStyle w:val="Heading2"/>
      </w:pPr>
      <w:r>
        <w:t>Notes</w:t>
      </w:r>
    </w:p>
    <w:p>
      <w:r>
        <w:t>Invoices are finalised three days after the period ends. Adjustments requested before finalisation appear on the same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