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DOC-INT-001: Connecting continuous integration pipelines</w:t>
      </w:r>
    </w:p>
    <w:p>
      <w:r>
        <w:t>Category: integration | Applies To: All plans</w:t>
      </w:r>
    </w:p>
    <w:p>
      <w:pPr>
        <w:pStyle w:val="Heading2"/>
      </w:pPr>
      <w:r>
        <w:t>Connecting continuous integration pipelines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The pipeline cannot authenticate against CloudServe</w:t>
      </w:r>
    </w:p>
    <w:p>
      <w:r>
        <w:t>- Deployments succeed manually but fail from the pipeline</w:t>
      </w:r>
    </w:p>
    <w:p>
      <w:r>
        <w:t>- The pipeline has broader access than intended</w:t>
      </w:r>
    </w:p>
    <w:p>
      <w:pPr>
        <w:pStyle w:val="Heading2"/>
      </w:pPr>
      <w:r>
        <w:t>Common causes</w:t>
      </w:r>
    </w:p>
    <w:p>
      <w:r>
        <w:t>- A personal key was used rather than a service account</w:t>
      </w:r>
    </w:p>
    <w:p>
      <w:r>
        <w:t>- The pipeline environment lacks the configuration present locally</w:t>
      </w:r>
    </w:p>
    <w:p>
      <w:r>
        <w:t>- The service account was granted an organisation-wide role</w:t>
      </w:r>
    </w:p>
    <w:p>
      <w:pPr>
        <w:pStyle w:val="Heading2"/>
      </w:pPr>
      <w:r>
        <w:t>Resolution</w:t>
      </w:r>
    </w:p>
    <w:p>
      <w:r>
        <w:t>1. Create a service account for the pipeline rather than using a personal key, so that access survives staff changes.</w:t>
      </w:r>
    </w:p>
    <w:p>
      <w:r>
        <w:t>2. Grant the service account only the projects and permissions the pipeline needs, and review that grant when the pipeline changes.</w:t>
      </w:r>
    </w:p>
    <w:p>
      <w:r>
        <w:t>3. Store the credential as an encrypted secret in your pipeline provider, never in the repository.</w:t>
      </w:r>
    </w:p>
    <w:p>
      <w:r>
        <w:t>4. Test the pipeline credential separately from the deployment logic, so that authentication failures are distinguishable from deployment failures.</w:t>
      </w:r>
    </w:p>
    <w:p>
      <w:pPr>
        <w:pStyle w:val="Heading2"/>
      </w:pPr>
      <w:r>
        <w:t>Notes</w:t>
      </w:r>
    </w:p>
    <w:p>
      <w:r>
        <w:t>Service account keys do not expire by default. Set an expiry and rotate on a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