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DOC-PERF-001: Diagnosing elevated response latency</w:t>
      </w:r>
    </w:p>
    <w:p>
      <w:r>
        <w:t>Category: performance | Applies To: All compute services</w:t>
      </w:r>
    </w:p>
    <w:p>
      <w:pPr>
        <w:pStyle w:val="Heading2"/>
      </w:pPr>
      <w:r>
        <w:t>Diagnosing elevated response latency</w:t>
      </w:r>
    </w:p>
    <w:p>
      <w:r>
        <w:t>**Applies to:** All compute services</w:t>
      </w:r>
    </w:p>
    <w:p>
      <w:pPr>
        <w:pStyle w:val="Heading2"/>
      </w:pPr>
      <w:r>
        <w:t>Symptoms</w:t>
      </w:r>
    </w:p>
    <w:p>
      <w:r>
        <w:t>- Response times have increased without a code change</w:t>
      </w:r>
    </w:p>
    <w:p>
      <w:r>
        <w:t>- The 95th percentile is far above the median</w:t>
      </w:r>
    </w:p>
    <w:p>
      <w:r>
        <w:t>- Latency rises at predictable times of day</w:t>
      </w:r>
    </w:p>
    <w:p>
      <w:pPr>
        <w:pStyle w:val="Heading2"/>
      </w:pPr>
      <w:r>
        <w:t>Common causes</w:t>
      </w:r>
    </w:p>
    <w:p>
      <w:r>
        <w:t>- The service is running close to its memory limit and spending time in garbage collection</w:t>
      </w:r>
    </w:p>
    <w:p>
      <w:r>
        <w:t>- A downstream dependency has slowed and the delay is propagating</w:t>
      </w:r>
    </w:p>
    <w:p>
      <w:r>
        <w:t>- Instance count is not scaling with the load pattern</w:t>
      </w:r>
    </w:p>
    <w:p>
      <w:pPr>
        <w:pStyle w:val="Heading2"/>
      </w:pPr>
      <w:r>
        <w:t>Resolution</w:t>
      </w:r>
    </w:p>
    <w:p>
      <w:r>
        <w:t>1. Compare median and 95th percentile latency on the metrics page. A large gap points to contention or queueing rather than a uniformly slower service.</w:t>
      </w:r>
    </w:p>
    <w:p>
      <w:r>
        <w:t>2. Check memory utilisation across instances. Sustained utilisation above eighty per cent typically shows up as latency before it shows up as failure.</w:t>
      </w:r>
    </w:p>
    <w:p>
      <w:r>
        <w:t>3. Review the dependency timing breakdown on the trace view to identify whether the time is being spent in your service or waiting on another.</w:t>
      </w:r>
    </w:p>
    <w:p>
      <w:r>
        <w:t>4. Adjust the autoscaling policy if load is predictable. Scaling on request count responds sooner than scaling on processor utilisation.</w:t>
      </w:r>
    </w:p>
    <w:p>
      <w:pPr>
        <w:pStyle w:val="Heading2"/>
      </w:pPr>
      <w:r>
        <w:t>Notes</w:t>
      </w:r>
    </w:p>
    <w:p>
      <w:r>
        <w:t>Cold starts affect the first request to a new instance. Frequent scaling events will therefore raise the 95th percentile even when the service itself is healthy.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