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DOC-SEC-003: Audit logging and compliance evidence</w:t>
      </w:r>
    </w:p>
    <w:p>
      <w:r>
        <w:t>Category: security | Applies To: Business and Enterprise plans</w:t>
      </w:r>
    </w:p>
    <w:p>
      <w:pPr>
        <w:pStyle w:val="Heading2"/>
      </w:pPr>
      <w:r>
        <w:t>Audit logging and compliance evidence</w:t>
      </w:r>
    </w:p>
    <w:p>
      <w:r>
        <w:t>**Applies to:** Business and Enterprise plans</w:t>
      </w:r>
    </w:p>
    <w:p>
      <w:pPr>
        <w:pStyle w:val="Heading2"/>
      </w:pPr>
      <w:r>
        <w:t>Symptoms</w:t>
      </w:r>
    </w:p>
    <w:p>
      <w:r>
        <w:t>- An auditor has requested access records</w:t>
      </w:r>
    </w:p>
    <w:p>
      <w:r>
        <w:t>- An event that should be logged cannot be found</w:t>
      </w:r>
    </w:p>
    <w:p>
      <w:r>
        <w:t>- Log retention is shorter than a policy requires</w:t>
      </w:r>
    </w:p>
    <w:p>
      <w:pPr>
        <w:pStyle w:val="Heading2"/>
      </w:pPr>
      <w:r>
        <w:t>Common causes</w:t>
      </w:r>
    </w:p>
    <w:p>
      <w:r>
        <w:t>- The event predates the retention window</w:t>
      </w:r>
    </w:p>
    <w:p>
      <w:r>
        <w:t>- The event type is not covered by the audit log</w:t>
      </w:r>
    </w:p>
    <w:p>
      <w:r>
        <w:t>- The organisation is on a plan with shorter retention</w:t>
      </w:r>
    </w:p>
    <w:p>
      <w:pPr>
        <w:pStyle w:val="Heading2"/>
      </w:pPr>
      <w:r>
        <w:t>Resolution</w:t>
      </w:r>
    </w:p>
    <w:p>
      <w:r>
        <w:t>1. Filter the audit log by actor, resource and date range. Every administrative action carries the user, the address and the outcome.</w:t>
      </w:r>
    </w:p>
    <w:p>
      <w:r>
        <w:t>2. Export the relevant period to object storage for anything needed beyond the retention window. Exports are not subject to retention limits.</w:t>
      </w:r>
    </w:p>
    <w:p>
      <w:r>
        <w:t>3. Configure continuous export to your own storage if a policy requires retention longer than the plan provides.</w:t>
      </w:r>
    </w:p>
    <w:p>
      <w:r>
        <w:t>4. Note that read access to resources is not logged on Business plans, only administrative and configuration changes.</w:t>
      </w:r>
    </w:p>
    <w:p>
      <w:pPr>
        <w:pStyle w:val="Heading2"/>
      </w:pPr>
      <w:r>
        <w:t>Notes</w:t>
      </w:r>
    </w:p>
    <w:p>
      <w:r>
        <w:t>Audit log exports are themselves audited, including the fields selected and the destination.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