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Automated Land Description Geolocation</w:t>
      </w:r>
    </w:p>
    <w:p>
      <w:pPr>
        <w:jc w:val="center"/>
      </w:pPr>
      <w:r>
        <w:rPr>
          <w:b/>
          <w:sz w:val="28"/>
        </w:rPr>
        <w:t>England &amp; Wales | Azure OpenAI + OS + HMLR INSPIRE + AWS SageMaker</w:t>
      </w:r>
    </w:p>
    <w:p>
      <w:pPr>
        <w:jc w:val="center"/>
      </w:pPr>
      <w:r>
        <w:rPr>
          <w:sz w:val="24"/>
        </w:rPr>
        <w:br/>
        <w:t>Text-first production design - no location-plan dependency in V1</w:t>
        <w:br/>
      </w:r>
    </w:p>
    <w:p>
      <w:pPr>
        <w:jc w:val="center"/>
      </w:pPr>
      <w:r>
        <w:rPr>
          <w:sz w:val="20"/>
        </w:rPr>
        <w:t>Prepared 18 August 2026</w:t>
      </w:r>
    </w:p>
    <w:p>
      <w:r>
        <w:br/>
      </w:r>
    </w:p>
    <w:tbl>
      <w:tblPr>
        <w:tblStyle w:val="TableGrid"/>
        <w:tblW w:type="auto" w:w="0"/>
        <w:jc w:val="center"/>
        <w:tblLook w:firstColumn="1" w:firstRow="1" w:lastColumn="0" w:lastRow="0" w:noHBand="0" w:noVBand="1" w:val="04A0"/>
      </w:tblPr>
      <w:tblGrid>
        <w:gridCol w:w="10166"/>
      </w:tblGrid>
      <w:tr>
        <w:trPr>
          <w:cantSplit/>
        </w:trPr>
        <w:tc>
          <w:tcPr>
            <w:tcW w:type="dxa" w:w="10166"/>
            <w:shd w:fill="F2F6F8"/>
            <w:vAlign w:val="center"/>
          </w:tcPr>
          <w:p>
            <w:pPr>
              <w:spacing w:after="0"/>
            </w:pPr>
            <w:r/>
            <w:r>
              <w:rPr>
                <w:rFonts w:ascii="Aptos" w:hAnsi="Aptos"/>
                <w:b w:val="0"/>
                <w:sz w:val="20"/>
              </w:rPr>
              <w:t>Purpose: automatically convert ambiguous legal/property-style land descriptions into a conservative ranked geographic result using real OS/HMLR data. The system is designed to return UNRESOLVED or MULTIPLE_CANDIDATES rather than force a wrong match.</w:t>
            </w:r>
          </w:p>
        </w:tc>
      </w:tr>
    </w:tbl>
    <w:p>
      <w:r>
        <w:br w:type="page"/>
      </w:r>
    </w:p>
    <w:p>
      <w:pPr>
        <w:pStyle w:val="Heading1"/>
      </w:pPr>
      <w:r>
        <w:t>Contents</w:t>
      </w:r>
    </w:p>
    <w:p>
      <w:pPr>
        <w:pStyle w:val="ListBullet"/>
        <w:spacing w:after="40"/>
      </w:pPr>
      <w:r>
        <w:t>1. Executive summary</w:t>
      </w:r>
    </w:p>
    <w:p>
      <w:pPr>
        <w:pStyle w:val="ListBullet"/>
        <w:spacing w:after="40"/>
      </w:pPr>
      <w:r>
        <w:t>2. What problem the system is solving</w:t>
      </w:r>
    </w:p>
    <w:p>
      <w:pPr>
        <w:pStyle w:val="ListBullet"/>
        <w:spacing w:after="40"/>
      </w:pPr>
      <w:r>
        <w:t>3. Data required</w:t>
      </w:r>
    </w:p>
    <w:p>
      <w:pPr>
        <w:pStyle w:val="ListBullet"/>
        <w:spacing w:after="40"/>
      </w:pPr>
      <w:r>
        <w:t>4. Pipeline in plain English</w:t>
      </w:r>
    </w:p>
    <w:p>
      <w:pPr>
        <w:pStyle w:val="ListBullet"/>
        <w:spacing w:after="40"/>
      </w:pPr>
      <w:r>
        <w:t>5. Why location plans are intentionally excluded from V1</w:t>
      </w:r>
    </w:p>
    <w:p>
      <w:pPr>
        <w:pStyle w:val="ListBullet"/>
        <w:spacing w:after="40"/>
      </w:pPr>
      <w:r>
        <w:t>6. How ambiguity is handled</w:t>
      </w:r>
    </w:p>
    <w:p>
      <w:pPr>
        <w:pStyle w:val="ListBullet"/>
        <w:spacing w:after="40"/>
      </w:pPr>
      <w:r>
        <w:t>7. Worked examples</w:t>
      </w:r>
    </w:p>
    <w:p>
      <w:pPr>
        <w:pStyle w:val="ListBullet"/>
        <w:spacing w:after="40"/>
      </w:pPr>
      <w:r>
        <w:t>8. Output contract</w:t>
      </w:r>
    </w:p>
    <w:p>
      <w:pPr>
        <w:pStyle w:val="ListBullet"/>
        <w:spacing w:after="40"/>
      </w:pPr>
      <w:r>
        <w:t>9. Notebook/code architecture</w:t>
      </w:r>
    </w:p>
    <w:p>
      <w:pPr>
        <w:pStyle w:val="ListBullet"/>
        <w:spacing w:after="40"/>
      </w:pPr>
      <w:r>
        <w:t>10. Function reference</w:t>
      </w:r>
    </w:p>
    <w:p>
      <w:pPr>
        <w:pStyle w:val="ListBullet"/>
        <w:spacing w:after="40"/>
      </w:pPr>
      <w:r>
        <w:t>11. Parameter reference and tuning</w:t>
      </w:r>
    </w:p>
    <w:p>
      <w:pPr>
        <w:pStyle w:val="ListBullet"/>
        <w:spacing w:after="40"/>
      </w:pPr>
      <w:r>
        <w:t>12. Accuracy, validation and calibration</w:t>
      </w:r>
    </w:p>
    <w:p>
      <w:pPr>
        <w:pStyle w:val="ListBullet"/>
        <w:spacing w:after="40"/>
      </w:pPr>
      <w:r>
        <w:t>13. Deployment in SageMaker</w:t>
      </w:r>
    </w:p>
    <w:p>
      <w:pPr>
        <w:pStyle w:val="ListBullet"/>
        <w:spacing w:after="40"/>
      </w:pPr>
      <w:r>
        <w:t>14. Failure modes and worst-case behaviour</w:t>
      </w:r>
    </w:p>
    <w:p>
      <w:pPr>
        <w:pStyle w:val="ListBullet"/>
        <w:spacing w:after="40"/>
      </w:pPr>
      <w:r>
        <w:t>15. Recommended next steps</w:t>
      </w:r>
    </w:p>
    <w:p>
      <w:pPr>
        <w:pStyle w:val="ListBullet"/>
        <w:spacing w:after="40"/>
      </w:pPr>
      <w:r>
        <w:t>16. Official references</w:t>
      </w:r>
    </w:p>
    <w:p>
      <w:pPr>
        <w:pStyle w:val="Heading1"/>
      </w:pPr>
      <w:r>
        <w:t>1. Executive summary</w:t>
      </w:r>
    </w:p>
    <w:p>
      <w:pPr>
        <w:spacing w:after="100" w:line="259" w:lineRule="auto"/>
      </w:pPr>
      <w:r>
        <w:t>The recommended first production version uses the property/land description as the primary input. Azure OpenAI understands the language, but it is never trusted to invent a location. Ordnance Survey datasets in S3 provide address/name/street facts; HM Land Registry INSPIRE provides nearby indicative freehold polygons; Shapely/GeoPandas perform the spatial mathematics. A final LLM pass only interprets evidence that the GIS pipeline has already produced.</w:t>
      </w:r>
    </w:p>
    <w:p>
      <w:pPr>
        <w:spacing w:after="100" w:line="259" w:lineRule="auto"/>
      </w:pPr>
      <w:r>
        <w:t>The most important accuracy choice is that ambiguous anchors are not resolved one at a time. If "Rose Cottage" has many possible matches, the system keeps several candidates and evaluates complete geographic hypotheses using the other anchors in the same description. This prevents an early bad choice from contaminating the rest of the pipeline.</w:t>
      </w:r>
    </w:p>
    <w:p>
      <w:pPr>
        <w:spacing w:after="100" w:line="259" w:lineRule="auto"/>
      </w:pPr>
      <w:r>
        <w:t>No autonomous system can guarantee a correct legal parcel from every ambiguous sentence using INSPIRE alone. The design therefore has explicit machine outcomes: MATCHED, MULTIPLE_CANDIDATES, UNRESOLVED, INVALID_INPUT and ERROR. A correct autonomous system must be allowed to refuse to force a single match when the evidence does not support one.</w:t>
      </w:r>
    </w:p>
    <w:p>
      <w:pPr>
        <w:pStyle w:val="Heading1"/>
      </w:pPr>
      <w:r>
        <w:t>2. What problem the system is solving</w:t>
      </w:r>
    </w:p>
    <w:p>
      <w:pPr>
        <w:spacing w:after="100" w:line="259" w:lineRule="auto"/>
      </w:pPr>
      <w:r>
        <w:t>A normal geocoder expects something close to a postal address. Your descriptions are often relational: "land adjacent to...", "land between...", "land to the rear of...", "bounded by...", or a combination of several clues. The subject land may not have a postal address of its own.</w:t>
      </w:r>
    </w:p>
    <w:p>
      <w:pPr>
        <w:spacing w:after="100" w:line="259" w:lineRule="auto"/>
      </w:pPr>
      <w:r>
        <w:t>The pipeline converts the sentence into a constrained geographic search problem:</w:t>
      </w:r>
    </w:p>
    <w:p>
      <w:pPr>
        <w:pStyle w:val="CodeBlock"/>
      </w:pPr>
      <w:r>
        <w:rPr>
          <w:rFonts w:ascii="Consolas" w:hAnsi="Consolas"/>
          <w:sz w:val="17"/>
        </w:rPr>
        <w:t>Description</w:t>
        <w:br/>
        <w:t xml:space="preserve">  -&gt; subject</w:t>
        <w:br/>
        <w:t xml:space="preserve">  -&gt; N anchors (addresses, roads, farms, landmarks, rivers...)</w:t>
        <w:br/>
        <w:t xml:space="preserve">  -&gt; N spatial constraints (adjacent, between, rear, bounded by...)</w:t>
        <w:br/>
        <w:t xml:space="preserve">  -&gt; OS candidate locations</w:t>
        <w:br/>
        <w:t xml:space="preserve">  -&gt; coherent geographic hypotheses</w:t>
        <w:br/>
        <w:t xml:space="preserve">  -&gt; nearby HMLR INSPIRE polygons</w:t>
        <w:br/>
        <w:t xml:space="preserve">  -&gt; spatial evidence and ranking</w:t>
        <w:br/>
        <w:t xml:space="preserve">  -&gt; conservative final status</w:t>
      </w:r>
    </w:p>
    <w:p>
      <w:pPr>
        <w:pStyle w:val="Heading1"/>
      </w:pPr>
      <w:r>
        <w:t>3. Data required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vAlign w:val="center"/>
            <w:shd w:fill="D9EAF7"/>
          </w:tcPr>
          <w:p>
            <w:pPr>
              <w:spacing w:after="0"/>
            </w:pPr>
            <w:r/>
            <w:r>
              <w:rPr>
                <w:rFonts w:ascii="Aptos" w:hAnsi="Aptos"/>
                <w:b/>
                <w:sz w:val="16"/>
              </w:rPr>
              <w:t>Dataset</w:t>
            </w:r>
          </w:p>
        </w:tc>
        <w:tc>
          <w:tcPr>
            <w:tcW w:type="dxa" w:w="6552"/>
            <w:vAlign w:val="center"/>
            <w:shd w:fill="D9EAF7"/>
          </w:tcPr>
          <w:p>
            <w:pPr>
              <w:spacing w:after="0"/>
            </w:pPr>
            <w:r/>
            <w:r>
              <w:rPr>
                <w:rFonts w:ascii="Aptos" w:hAnsi="Aptos"/>
                <w:b/>
                <w:sz w:val="16"/>
              </w:rPr>
              <w:t>Role</w:t>
            </w:r>
          </w:p>
        </w:tc>
        <w:tc>
          <w:tcPr>
            <w:tcW w:type="dxa" w:w="1800"/>
            <w:vAlign w:val="center"/>
            <w:shd w:fill="D9EAF7"/>
          </w:tcPr>
          <w:p>
            <w:pPr>
              <w:spacing w:after="0"/>
            </w:pPr>
            <w:r/>
            <w:r>
              <w:rPr>
                <w:rFonts w:ascii="Aptos" w:hAnsi="Aptos"/>
                <w:b/>
                <w:sz w:val="16"/>
              </w:rPr>
              <w:t>Priority</w:t>
            </w:r>
          </w:p>
        </w:tc>
      </w:tr>
      <w:tr>
        <w:trPr>
          <w:cantSplit/>
        </w:trPr>
        <w:tc>
          <w:tcPr>
            <w:tcW w:type="dxa" w:w="1944"/>
            <w:vAlign w:val="center"/>
          </w:tcPr>
          <w:p>
            <w:pPr>
              <w:spacing w:after="0"/>
            </w:pPr>
            <w:r/>
            <w:r>
              <w:rPr>
                <w:rFonts w:ascii="Aptos" w:hAnsi="Aptos"/>
                <w:b w:val="0"/>
                <w:sz w:val="16"/>
              </w:rPr>
              <w:t>AddressBase Core</w:t>
            </w:r>
          </w:p>
        </w:tc>
        <w:tc>
          <w:tcPr>
            <w:tcW w:type="dxa" w:w="6552"/>
            <w:vAlign w:val="center"/>
          </w:tcPr>
          <w:p>
            <w:pPr>
              <w:spacing w:after="0"/>
            </w:pPr>
            <w:r/>
            <w:r>
              <w:rPr>
                <w:rFonts w:ascii="Aptos" w:hAnsi="Aptos"/>
                <w:b w:val="0"/>
                <w:sz w:val="16"/>
              </w:rPr>
              <w:t>Primary address resolver: address components -&gt; UPRN + British National Grid coordinate.</w:t>
            </w:r>
          </w:p>
        </w:tc>
        <w:tc>
          <w:tcPr>
            <w:tcW w:type="dxa" w:w="1800"/>
            <w:vAlign w:val="center"/>
          </w:tcPr>
          <w:p>
            <w:pPr>
              <w:spacing w:after="0"/>
            </w:pPr>
            <w:r/>
            <w:r>
              <w:rPr>
                <w:rFonts w:ascii="Aptos" w:hAnsi="Aptos"/>
                <w:b w:val="0"/>
                <w:sz w:val="16"/>
              </w:rPr>
              <w:t>Essential</w:t>
            </w:r>
          </w:p>
        </w:tc>
      </w:tr>
      <w:tr>
        <w:trPr>
          <w:cantSplit/>
        </w:trPr>
        <w:tc>
          <w:tcPr>
            <w:tcW w:type="dxa" w:w="1944"/>
            <w:vAlign w:val="center"/>
          </w:tcPr>
          <w:p>
            <w:pPr>
              <w:spacing w:after="0"/>
            </w:pPr>
            <w:r/>
            <w:r>
              <w:rPr>
                <w:rFonts w:ascii="Aptos" w:hAnsi="Aptos"/>
                <w:b w:val="0"/>
                <w:sz w:val="16"/>
              </w:rPr>
              <w:t>OS Open Names</w:t>
            </w:r>
          </w:p>
        </w:tc>
        <w:tc>
          <w:tcPr>
            <w:tcW w:type="dxa" w:w="6552"/>
            <w:vAlign w:val="center"/>
          </w:tcPr>
          <w:p>
            <w:pPr>
              <w:spacing w:after="0"/>
            </w:pPr>
            <w:r/>
            <w:r>
              <w:rPr>
                <w:rFonts w:ascii="Aptos" w:hAnsi="Aptos"/>
                <w:b w:val="0"/>
                <w:sz w:val="16"/>
              </w:rPr>
              <w:t>Named places, road names/points, settlements, landmarks; useful for non-address anchors and Welsh/English naming.</w:t>
            </w:r>
          </w:p>
        </w:tc>
        <w:tc>
          <w:tcPr>
            <w:tcW w:type="dxa" w:w="1800"/>
            <w:vAlign w:val="center"/>
          </w:tcPr>
          <w:p>
            <w:pPr>
              <w:spacing w:after="0"/>
            </w:pPr>
            <w:r/>
            <w:r>
              <w:rPr>
                <w:rFonts w:ascii="Aptos" w:hAnsi="Aptos"/>
                <w:b w:val="0"/>
                <w:sz w:val="16"/>
              </w:rPr>
              <w:t>Essential</w:t>
            </w:r>
          </w:p>
        </w:tc>
      </w:tr>
      <w:tr>
        <w:trPr>
          <w:cantSplit/>
        </w:trPr>
        <w:tc>
          <w:tcPr>
            <w:tcW w:type="dxa" w:w="1944"/>
            <w:vAlign w:val="center"/>
          </w:tcPr>
          <w:p>
            <w:pPr>
              <w:spacing w:after="0"/>
            </w:pPr>
            <w:r/>
            <w:r>
              <w:rPr>
                <w:rFonts w:ascii="Aptos" w:hAnsi="Aptos"/>
                <w:b w:val="0"/>
                <w:sz w:val="16"/>
              </w:rPr>
              <w:t>OS Open USRN</w:t>
            </w:r>
          </w:p>
        </w:tc>
        <w:tc>
          <w:tcPr>
            <w:tcW w:type="dxa" w:w="6552"/>
            <w:vAlign w:val="center"/>
          </w:tcPr>
          <w:p>
            <w:pPr>
              <w:spacing w:after="0"/>
            </w:pPr>
            <w:r/>
            <w:r>
              <w:rPr>
                <w:rFonts w:ascii="Aptos" w:hAnsi="Aptos"/>
                <w:b w:val="0"/>
                <w:sz w:val="16"/>
              </w:rPr>
              <w:t>Simplified street geometry for USRNs; preferred for named-street geometry when available.</w:t>
            </w:r>
          </w:p>
        </w:tc>
        <w:tc>
          <w:tcPr>
            <w:tcW w:type="dxa" w:w="1800"/>
            <w:vAlign w:val="center"/>
          </w:tcPr>
          <w:p>
            <w:pPr>
              <w:spacing w:after="0"/>
            </w:pPr>
            <w:r/>
            <w:r>
              <w:rPr>
                <w:rFonts w:ascii="Aptos" w:hAnsi="Aptos"/>
                <w:b w:val="0"/>
                <w:sz w:val="16"/>
              </w:rPr>
              <w:t>Recommended</w:t>
            </w:r>
          </w:p>
        </w:tc>
      </w:tr>
      <w:tr>
        <w:trPr>
          <w:cantSplit/>
        </w:trPr>
        <w:tc>
          <w:tcPr>
            <w:tcW w:type="dxa" w:w="1944"/>
            <w:vAlign w:val="center"/>
          </w:tcPr>
          <w:p>
            <w:pPr>
              <w:spacing w:after="0"/>
            </w:pPr>
            <w:r/>
            <w:r>
              <w:rPr>
                <w:rFonts w:ascii="Aptos" w:hAnsi="Aptos"/>
                <w:b w:val="0"/>
                <w:sz w:val="16"/>
              </w:rPr>
              <w:t>OS Open Roads</w:t>
            </w:r>
          </w:p>
        </w:tc>
        <w:tc>
          <w:tcPr>
            <w:tcW w:type="dxa" w:w="6552"/>
            <w:vAlign w:val="center"/>
          </w:tcPr>
          <w:p>
            <w:pPr>
              <w:spacing w:after="0"/>
            </w:pPr>
            <w:r/>
            <w:r>
              <w:rPr>
                <w:rFonts w:ascii="Aptos" w:hAnsi="Aptos"/>
                <w:b w:val="0"/>
                <w:sz w:val="16"/>
              </w:rPr>
              <w:t>Road-network geometry; fallback for road-side/rear/opposite calculations.</w:t>
            </w:r>
          </w:p>
        </w:tc>
        <w:tc>
          <w:tcPr>
            <w:tcW w:type="dxa" w:w="1800"/>
            <w:vAlign w:val="center"/>
          </w:tcPr>
          <w:p>
            <w:pPr>
              <w:spacing w:after="0"/>
            </w:pPr>
            <w:r/>
            <w:r>
              <w:rPr>
                <w:rFonts w:ascii="Aptos" w:hAnsi="Aptos"/>
                <w:b w:val="0"/>
                <w:sz w:val="16"/>
              </w:rPr>
              <w:t>Recommended fallback</w:t>
            </w:r>
          </w:p>
        </w:tc>
      </w:tr>
      <w:tr>
        <w:trPr>
          <w:cantSplit/>
        </w:trPr>
        <w:tc>
          <w:tcPr>
            <w:tcW w:type="dxa" w:w="1944"/>
            <w:vAlign w:val="center"/>
          </w:tcPr>
          <w:p>
            <w:pPr>
              <w:spacing w:after="0"/>
            </w:pPr>
            <w:r/>
            <w:r>
              <w:rPr>
                <w:rFonts w:ascii="Aptos" w:hAnsi="Aptos"/>
                <w:b w:val="0"/>
                <w:sz w:val="16"/>
              </w:rPr>
              <w:t>OS Open Rivers</w:t>
            </w:r>
          </w:p>
        </w:tc>
        <w:tc>
          <w:tcPr>
            <w:tcW w:type="dxa" w:w="6552"/>
            <w:vAlign w:val="center"/>
          </w:tcPr>
          <w:p>
            <w:pPr>
              <w:spacing w:after="0"/>
            </w:pPr>
            <w:r/>
            <w:r>
              <w:rPr>
                <w:rFonts w:ascii="Aptos" w:hAnsi="Aptos"/>
                <w:b w:val="0"/>
                <w:sz w:val="16"/>
              </w:rPr>
              <w:t>Watercourse geometry for bounded-by/near river descriptions.</w:t>
            </w:r>
          </w:p>
        </w:tc>
        <w:tc>
          <w:tcPr>
            <w:tcW w:type="dxa" w:w="1800"/>
            <w:vAlign w:val="center"/>
          </w:tcPr>
          <w:p>
            <w:pPr>
              <w:spacing w:after="0"/>
            </w:pPr>
            <w:r/>
            <w:r>
              <w:rPr>
                <w:rFonts w:ascii="Aptos" w:hAnsi="Aptos"/>
                <w:b w:val="0"/>
                <w:sz w:val="16"/>
              </w:rPr>
              <w:t>Recommended</w:t>
            </w:r>
          </w:p>
        </w:tc>
      </w:tr>
      <w:tr>
        <w:trPr>
          <w:cantSplit/>
        </w:trPr>
        <w:tc>
          <w:tcPr>
            <w:tcW w:type="dxa" w:w="1944"/>
            <w:vAlign w:val="center"/>
          </w:tcPr>
          <w:p>
            <w:pPr>
              <w:spacing w:after="0"/>
            </w:pPr>
            <w:r/>
            <w:r>
              <w:rPr>
                <w:rFonts w:ascii="Aptos" w:hAnsi="Aptos"/>
                <w:b w:val="0"/>
                <w:sz w:val="16"/>
              </w:rPr>
              <w:t>HMLR INSPIRE</w:t>
            </w:r>
          </w:p>
        </w:tc>
        <w:tc>
          <w:tcPr>
            <w:tcW w:type="dxa" w:w="6552"/>
            <w:vAlign w:val="center"/>
          </w:tcPr>
          <w:p>
            <w:pPr>
              <w:spacing w:after="0"/>
            </w:pPr>
            <w:r/>
            <w:r>
              <w:rPr>
                <w:rFonts w:ascii="Aptos" w:hAnsi="Aptos"/>
                <w:b w:val="0"/>
                <w:sz w:val="16"/>
              </w:rPr>
              <w:t>Indicative registered freehold extent polygons in England and Wales.</w:t>
            </w:r>
          </w:p>
        </w:tc>
        <w:tc>
          <w:tcPr>
            <w:tcW w:type="dxa" w:w="1800"/>
            <w:vAlign w:val="center"/>
          </w:tcPr>
          <w:p>
            <w:pPr>
              <w:spacing w:after="0"/>
            </w:pPr>
            <w:r/>
            <w:r>
              <w:rPr>
                <w:rFonts w:ascii="Aptos" w:hAnsi="Aptos"/>
                <w:b w:val="0"/>
                <w:sz w:val="16"/>
              </w:rPr>
              <w:t>Essential for V1 candidate polygons</w:t>
            </w:r>
          </w:p>
        </w:tc>
      </w:tr>
    </w:tbl>
    <w:p>
      <w:pPr>
        <w:spacing w:after="20"/>
      </w:pPr>
    </w:p>
    <w:p>
      <w:pPr>
        <w:spacing w:after="100" w:line="259" w:lineRule="auto"/>
      </w:pPr>
      <w:r>
        <w:t>All geometry should be converted to British National Grid (EPSG:27700) before distance and bearing calculations. That makes metre-based thresholds meaningful. HMLR INSPIRE technical guidance states that the data is supplied in British National Grid and its polygons show indicative positions/extents, not definitive legal boundaries.</w:t>
      </w:r>
    </w:p>
    <w:p>
      <w:pPr>
        <w:pStyle w:val="Heading2"/>
      </w:pPr>
      <w:r>
        <w:t>Suggested S3 layout</w:t>
      </w:r>
    </w:p>
    <w:p>
      <w:pPr>
        <w:pStyle w:val="CodeBlock"/>
      </w:pPr>
      <w:r>
        <w:rPr>
          <w:rFonts w:ascii="Consolas" w:hAnsi="Consolas"/>
          <w:sz w:val="17"/>
        </w:rPr>
        <w:t>s3://bucket/processed/</w:t>
        <w:br/>
        <w:t xml:space="preserve">  os/</w:t>
        <w:br/>
        <w:t xml:space="preserve">    address_records/uprn_bucket=xx/*.parquet</w:t>
        <w:br/>
        <w:t xml:space="preserve">    address_tokens/token_bucket=xxx/*.parquet</w:t>
        <w:br/>
        <w:t xml:space="preserve">    address_token_stats.parquet</w:t>
        <w:br/>
        <w:t xml:space="preserve">    name_records/name_bucket=xx/*.parquet</w:t>
        <w:br/>
        <w:t xml:space="preserve">    name_tokens/token_bucket=xxx/*.parquet</w:t>
        <w:br/>
        <w:t xml:space="preserve">    name_token_stats.parquet</w:t>
        <w:br/>
        <w:t xml:space="preserve">    open_usrn/tile10km=.../*.parquet</w:t>
        <w:br/>
        <w:t xml:space="preserve">    open_roads/tile10km=.../*.parquet</w:t>
        <w:br/>
        <w:t xml:space="preserve">    open_rivers/tile10km=.../*.parquet</w:t>
        <w:br/>
        <w:t xml:space="preserve">  hmlr/</w:t>
        <w:br/>
        <w:t xml:space="preserve">    inspire/tile10km=.../*.parquet</w:t>
        <w:br/>
        <w:t xml:space="preserve">  results/</w:t>
      </w:r>
    </w:p>
    <w:p>
      <w:pPr>
        <w:spacing w:after="100" w:line="259" w:lineRule="auto"/>
      </w:pPr>
      <w:r>
        <w:t>The token indexes are important. They let SageMaker look up a small S3 partition for a word such as "Rose", "Mill", a postcode or a house number instead of scanning every AddressBase row nationally for each record.</w:t>
      </w:r>
    </w:p>
    <w:p>
      <w:pPr>
        <w:pStyle w:val="Heading1"/>
      </w:pPr>
      <w:r>
        <w:t>4. Pipeline in plain English</w:t>
      </w:r>
    </w:p>
    <w:p>
      <w:pPr>
        <w:spacing w:after="80"/>
      </w:pPr>
      <w:r>
        <w:rPr>
          <w:b/>
        </w:rPr>
        <w:t xml:space="preserve">Step 1 - Parse the description: </w:t>
      </w:r>
      <w:r>
        <w:t>Azure OpenAI converts the sentence into a structured subject, anchors and spatial constraints. A second verifier pass can correct missed anchors or wrong shared-address expansion.</w:t>
      </w:r>
    </w:p>
    <w:p>
      <w:pPr>
        <w:spacing w:after="80"/>
      </w:pPr>
      <w:r>
        <w:rPr>
          <w:b/>
        </w:rPr>
        <w:t xml:space="preserve">Step 2 - Retrieve candidates for every anchor: </w:t>
      </w:r>
      <w:r>
        <w:t>Address/property anchors search AddressBase. Roads/landmarks/watercourses use OS Open Names. If the first search is weak, Azure OpenAI may create linguistic search variants without adding new geographic facts.</w:t>
      </w:r>
    </w:p>
    <w:p>
      <w:pPr>
        <w:spacing w:after="80"/>
      </w:pPr>
      <w:r>
        <w:rPr>
          <w:b/>
        </w:rPr>
        <w:t xml:space="preserve">Step 3 - Build whole-description hypotheses: </w:t>
      </w:r>
      <w:r>
        <w:t>The system uses beam search. It keeps several combinations of anchor candidates and rewards combinations that are both textually plausible and geographically coherent.</w:t>
      </w:r>
    </w:p>
    <w:p>
      <w:pPr>
        <w:spacing w:after="80"/>
      </w:pPr>
      <w:r>
        <w:rPr>
          <w:b/>
        </w:rPr>
        <w:t xml:space="preserve">Step 4 - Enrich anchor geometry: </w:t>
      </w:r>
      <w:r>
        <w:t>Address points are optionally associated with a nearby/containing INSPIRE polygon. Roads/rivers are associated with line geometry. This makes adjacency/boundary tests stronger than point-only tests.</w:t>
      </w:r>
    </w:p>
    <w:p>
      <w:pPr>
        <w:spacing w:after="80"/>
      </w:pPr>
      <w:r>
        <w:rPr>
          <w:b/>
        </w:rPr>
        <w:t xml:space="preserve">Step 5 - Build an adaptive search area: </w:t>
      </w:r>
      <w:r>
        <w:t>The selected anchors define a local search box. The radius expands with anchor spread and for rural/settlement-type anchors, but is capped to prevent runaway national searches.</w:t>
      </w:r>
    </w:p>
    <w:p>
      <w:pPr>
        <w:spacing w:after="80"/>
      </w:pPr>
      <w:r>
        <w:rPr>
          <w:b/>
        </w:rPr>
        <w:t xml:space="preserve">Step 6 - Retrieve nearby INSPIRE polygons: </w:t>
      </w:r>
      <w:r>
        <w:t>Only INSPIRE tiles intersecting the search box are read. Each polygon becomes a possible subject extent.</w:t>
      </w:r>
    </w:p>
    <w:p>
      <w:pPr>
        <w:spacing w:after="80"/>
      </w:pPr>
      <w:r>
        <w:rPr>
          <w:b/>
        </w:rPr>
        <w:t xml:space="preserve">Step 7 - Score the actual spatial language: </w:t>
      </w:r>
      <w:r>
        <w:t>Shapely tests "adjacent", "between", directional relationships, "bounded by", "rear/front", "opposite", etc. Missing data is marked unavailable rather than false.</w:t>
      </w:r>
    </w:p>
    <w:p>
      <w:pPr>
        <w:spacing w:after="80"/>
      </w:pPr>
      <w:r>
        <w:rPr>
          <w:b/>
        </w:rPr>
        <w:t xml:space="preserve">Step 8 - LLM semantic adjudication: </w:t>
      </w:r>
      <w:r>
        <w:t>The top few real candidates and their GIS evidence are sent to Azure OpenAI. The model checks whether the evidence is semantically consistent with the original wording. It is forbidden to add geographic facts from memory.</w:t>
      </w:r>
    </w:p>
    <w:p>
      <w:pPr>
        <w:spacing w:after="80"/>
      </w:pPr>
      <w:r>
        <w:rPr>
          <w:b/>
        </w:rPr>
        <w:t xml:space="preserve">Step 9 - Conservative final decision: </w:t>
      </w:r>
      <w:r>
        <w:t>The system combines spatial score, anchor-hypothesis score, semantic score and evidence coverage. A candidate must exceed the match threshold and beat the runner-up by a minimum margin before the status becomes MATCHED.</w:t>
      </w:r>
    </w:p>
    <w:p>
      <w:pPr>
        <w:pStyle w:val="Heading1"/>
      </w:pPr>
      <w:r>
        <w:t>5. Why location plans are intentionally excluded from V1</w:t>
      </w:r>
    </w:p>
    <w:p>
      <w:pPr>
        <w:spacing w:after="100" w:line="259" w:lineRule="auto"/>
      </w:pPr>
      <w:r>
        <w:t>Location plans can be valuable, but they create a separate computer-vision/georeferencing problem: variable scale, rotation, bad scans, missing features, extra features, red/black/hatched site boundaries and different cartographic styles. Making vision part of the critical path would add complexity before the text/GIS approach has been benchmarked.</w:t>
      </w:r>
    </w:p>
    <w:p>
      <w:pPr>
        <w:spacing w:after="100" w:line="259" w:lineRule="auto"/>
      </w:pPr>
      <w:r>
        <w:t>The notebook keeps an optional location_plan_s3_uri in the batch interface, but V1 records a warning and ignores it. A later V2 can use the plan only for low-confidence text cases without changing the rest of the architecture.</w:t>
      </w:r>
    </w:p>
    <w:p>
      <w:pPr>
        <w:pStyle w:val="Heading1"/>
      </w:pPr>
      <w:r>
        <w:t>6. How ambiguity is handled</w:t>
      </w:r>
    </w:p>
    <w:p>
      <w:pPr>
        <w:pStyle w:val="Heading2"/>
      </w:pPr>
      <w:r>
        <w:t>6.1 Never commit to one anchor too early</w:t>
      </w:r>
    </w:p>
    <w:p>
      <w:pPr>
        <w:spacing w:after="100" w:line="259" w:lineRule="auto"/>
      </w:pPr>
      <w:r>
        <w:t>Suppose "Rose Cottage" returns 25 AddressBase candidates. The system keeps the best set instead of selecting candidate 1 immediately. If the description also mentions "Mill Lane" and "St Mary's Church", complete combinations are compared. A Rose Cottage candidate close to those other anchors receives a coherence bonus; a candidate 150 km away is strongly penalised.</w:t>
      </w:r>
    </w:p>
    <w:p>
      <w:pPr>
        <w:pStyle w:val="Heading2"/>
      </w:pPr>
      <w:r>
        <w:t>6.2 Beam search prevents combinatorial explosion</w:t>
      </w:r>
    </w:p>
    <w:p>
      <w:pPr>
        <w:spacing w:after="100" w:line="259" w:lineRule="auto"/>
      </w:pPr>
      <w:r>
        <w:t>If four anchors each have 20 candidates, testing every combination would require 160,000 combinations. Beam search keeps only the strongest partial combinations after each anchor. The default beam width is 60 and the final number of whole-description hypotheses is 8.</w:t>
      </w:r>
    </w:p>
    <w:p>
      <w:pPr>
        <w:pStyle w:val="Heading2"/>
      </w:pPr>
      <w:r>
        <w:t>6.3 Unresolved anchors are allowed</w:t>
      </w:r>
    </w:p>
    <w:p>
      <w:pPr>
        <w:spacing w:after="100" w:line="259" w:lineRule="auto"/>
      </w:pPr>
      <w:r>
        <w:t>The beam contains an explicit unresolved branch. That is important when one anchor cannot be found or is misleading. The pipeline can still use the remaining anchors instead of failing or hallucinating a match.</w:t>
      </w:r>
    </w:p>
    <w:p>
      <w:pPr>
        <w:pStyle w:val="Heading2"/>
      </w:pPr>
      <w:r>
        <w:t>6.4 Missing GIS evidence is not a contradiction</w:t>
      </w:r>
    </w:p>
    <w:p>
      <w:pPr>
        <w:spacing w:after="100" w:line="259" w:lineRule="auto"/>
      </w:pPr>
      <w:r>
        <w:t>For example, "rear of" needs an estimate of the road-facing side of an anchor property. If no usable road geometry is found, the relation is marked unavailable. It does not score zero. Evidence coverage is tracked separately and lowers confidence.</w:t>
      </w:r>
    </w:p>
    <w:p>
      <w:pPr>
        <w:pStyle w:val="Heading2"/>
      </w:pPr>
      <w:r>
        <w:t>6.5 Required contradictions are penalised</w:t>
      </w:r>
    </w:p>
    <w:p>
      <w:pPr>
        <w:spacing w:after="100" w:line="259" w:lineRule="auto"/>
      </w:pPr>
      <w:r>
        <w:t>If the parser marks a clue as required and the GIS relation score is extremely low, the candidate receives a contradiction multiplier. This prevents a high score from several weak clues from hiding a direct conflict with a strong phrase.</w:t>
      </w:r>
    </w:p>
    <w:p>
      <w:pPr>
        <w:pStyle w:val="Heading1"/>
      </w:pPr>
      <w:r>
        <w:t>7. Worked examples</w:t>
      </w:r>
    </w:p>
    <w:p>
      <w:pPr>
        <w:pStyle w:val="Heading2"/>
      </w:pPr>
      <w:r>
        <w:t>Example A - straightforward adjacency</w:t>
      </w:r>
    </w:p>
    <w:p>
      <w:pPr>
        <w:pStyle w:val="CodeBlock"/>
      </w:pPr>
      <w:r>
        <w:rPr>
          <w:rFonts w:ascii="Consolas" w:hAnsi="Consolas"/>
          <w:sz w:val="17"/>
        </w:rPr>
        <w:t>Input: Land adjacent to 12 High Street, Chester</w:t>
      </w:r>
    </w:p>
    <w:p>
      <w:pPr>
        <w:spacing w:after="100" w:line="259" w:lineRule="auto"/>
      </w:pPr>
      <w:r>
        <w:t>The parser creates one address anchor and one adjacent_to constraint. AddressBase resolves 12 High Street. The nearby INSPIRE extent containing/nearest the address is used as anchor context where possible. Candidate polygons near that anchor are ranked mainly by boundary distance and semantic consistency.</w:t>
      </w:r>
    </w:p>
    <w:p>
      <w:pPr>
        <w:pStyle w:val="Heading2"/>
      </w:pPr>
      <w:r>
        <w:t>Example B - multiple anchors and shared street context</w:t>
      </w:r>
    </w:p>
    <w:p>
      <w:pPr>
        <w:pStyle w:val="CodeBlock"/>
      </w:pPr>
      <w:r>
        <w:rPr>
          <w:rFonts w:ascii="Consolas" w:hAnsi="Consolas"/>
          <w:sz w:val="17"/>
        </w:rPr>
        <w:t>Input: Land between 10 and 14 Station Road, to the rear of 12 Station Road, Chester</w:t>
      </w:r>
    </w:p>
    <w:p>
      <w:pPr>
        <w:spacing w:after="100" w:line="259" w:lineRule="auto"/>
      </w:pPr>
      <w:r>
        <w:t>The parser should create three anchors: 10, 14 and 12 Station Road with shared Chester context. The between relation references 10 and 14; rear_of references 12. Candidate land must satisfy both constraints. A polygon that lies between 10 and 14 but in front of 12 will lose score.</w:t>
      </w:r>
    </w:p>
    <w:p>
      <w:pPr>
        <w:pStyle w:val="Heading2"/>
      </w:pPr>
      <w:r>
        <w:t>Example C - repeated named property</w:t>
      </w:r>
    </w:p>
    <w:p>
      <w:pPr>
        <w:pStyle w:val="CodeBlock"/>
      </w:pPr>
      <w:r>
        <w:rPr>
          <w:rFonts w:ascii="Consolas" w:hAnsi="Consolas"/>
          <w:sz w:val="17"/>
        </w:rPr>
        <w:t>Input: Land adjoining Rose Cottage near Mill Lane, west of St Mary's Church</w:t>
      </w:r>
    </w:p>
    <w:p>
      <w:pPr>
        <w:spacing w:after="100" w:line="259" w:lineRule="auto"/>
      </w:pPr>
      <w:r>
        <w:t>Rose Cottage may have many AddressBase matches. Mill Lane and St Mary's Church may also be repeated names. The resolver keeps several candidates for each, then beam search finds coherent geographic clusters. The west_of and adjacency clues are evaluated only after the clusters have been formed. If two towns remain equally plausible, the final status should be MULTIPLE_CANDIDATES rather than a forced match.</w:t>
      </w:r>
    </w:p>
    <w:p>
      <w:pPr>
        <w:pStyle w:val="Heading2"/>
      </w:pPr>
      <w:r>
        <w:t>Example D - incomplete evidence</w:t>
      </w:r>
    </w:p>
    <w:p>
      <w:pPr>
        <w:pStyle w:val="CodeBlock"/>
      </w:pPr>
      <w:r>
        <w:rPr>
          <w:rFonts w:ascii="Consolas" w:hAnsi="Consolas"/>
          <w:sz w:val="17"/>
        </w:rPr>
        <w:t>Input: Land bounded by the brook and lying north of the old school</w:t>
      </w:r>
    </w:p>
    <w:p>
      <w:pPr>
        <w:spacing w:after="100" w:line="259" w:lineRule="auto"/>
      </w:pPr>
      <w:r>
        <w:t>The old school may be absent from OS Open Names and "the brook" may have no usable named river geometry. The system can resolve any available clue but should normally end UNRESOLVED unless enough objective evidence remains. This is expected behaviour, not a failure of automation.</w:t>
      </w:r>
    </w:p>
    <w:p>
      <w:pPr>
        <w:pStyle w:val="Heading1"/>
      </w:pPr>
      <w:r>
        <w:t>8. Output contract</w:t>
      </w:r>
    </w:p>
    <w:p>
      <w:pPr>
        <w:pStyle w:val="CodeBlock"/>
      </w:pPr>
      <w:r>
        <w:rPr>
          <w:rFonts w:ascii="Consolas" w:hAnsi="Consolas"/>
          <w:sz w:val="17"/>
        </w:rPr>
        <w:t>{</w:t>
        <w:br/>
        <w:t xml:space="preserve">  "record_id": "ABC123",</w:t>
        <w:br/>
        <w:t xml:space="preserve">  "status": "MATCHED | MULTIPLE_CANDIDATES | UNRESOLVED | INVALID_INPUT | ERROR",</w:t>
        <w:br/>
        <w:t xml:space="preserve">  "confidence_score": 0.84,</w:t>
        <w:br/>
        <w:t xml:space="preserve">  "best_candidate": {</w:t>
        <w:br/>
        <w:t xml:space="preserve">    "inspire_id": "...",</w:t>
        <w:br/>
        <w:t xml:space="preserve">    "final_score": 0.82,</w:t>
        <w:br/>
        <w:t xml:space="preserve">    "centroid_easting": 340123.4,</w:t>
        <w:br/>
        <w:t xml:space="preserve">    "centroid_northing": 366789.1,</w:t>
        <w:br/>
        <w:t xml:space="preserve">    "centroid_latitude": 53.20,</w:t>
        <w:br/>
        <w:t xml:space="preserve">    "centroid_longitude": -2.89,</w:t>
        <w:br/>
        <w:t xml:space="preserve">    "constraint_evidence": [...]</w:t>
        <w:br/>
        <w:t xml:space="preserve">  },</w:t>
        <w:br/>
        <w:t xml:space="preserve">  "candidates": [...],</w:t>
        <w:br/>
        <w:t xml:space="preserve">  "parsed_description": {...},</w:t>
        <w:br/>
        <w:t xml:space="preserve">  "anchor_hypotheses": [...],</w:t>
        <w:br/>
        <w:t xml:space="preserve">  "unresolved_reasons": [...],</w:t>
        <w:br/>
        <w:t xml:space="preserve">  "warnings": [...]</w:t>
        <w:br/>
        <w:t>}</w:t>
      </w:r>
    </w:p>
    <w:p>
      <w:pPr>
        <w:spacing w:after="100" w:line="259" w:lineRule="auto"/>
      </w:pPr>
      <w:r>
        <w:t>The confidence_score is a ranking confidence score. Do not describe it externally as a legal probability until it has been calibrated against a representative labelled dataset.</w:t>
      </w:r>
    </w:p>
    <w:p>
      <w:pPr>
        <w:pStyle w:val="Heading1"/>
      </w:pPr>
      <w:r>
        <w:t>9. Notebook/code architecture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72"/>
            <w:vAlign w:val="center"/>
            <w:shd w:fill="D9EAF7"/>
          </w:tcPr>
          <w:p>
            <w:pPr>
              <w:spacing w:after="0"/>
            </w:pPr>
            <w:r/>
            <w:r>
              <w:rPr>
                <w:rFonts w:ascii="Aptos" w:hAnsi="Aptos"/>
                <w:b/>
                <w:sz w:val="16"/>
              </w:rPr>
              <w:t>Layer</w:t>
            </w:r>
          </w:p>
        </w:tc>
        <w:tc>
          <w:tcPr>
            <w:tcW w:type="dxa" w:w="3888"/>
            <w:vAlign w:val="center"/>
            <w:shd w:fill="D9EAF7"/>
          </w:tcPr>
          <w:p>
            <w:pPr>
              <w:spacing w:after="0"/>
            </w:pPr>
            <w:r/>
            <w:r>
              <w:rPr>
                <w:rFonts w:ascii="Aptos" w:hAnsi="Aptos"/>
                <w:b/>
                <w:sz w:val="16"/>
              </w:rPr>
              <w:t>Main code</w:t>
            </w:r>
          </w:p>
        </w:tc>
        <w:tc>
          <w:tcPr>
            <w:tcW w:type="dxa" w:w="4752"/>
            <w:vAlign w:val="center"/>
            <w:shd w:fill="D9EAF7"/>
          </w:tcPr>
          <w:p>
            <w:pPr>
              <w:spacing w:after="0"/>
            </w:pPr>
            <w:r/>
            <w:r>
              <w:rPr>
                <w:rFonts w:ascii="Aptos" w:hAnsi="Aptos"/>
                <w:b/>
                <w:sz w:val="16"/>
              </w:rPr>
              <w:t>Purpose</w:t>
            </w:r>
          </w:p>
        </w:tc>
      </w:tr>
      <w:tr>
        <w:trPr>
          <w:cantSplit/>
        </w:trPr>
        <w:tc>
          <w:tcPr>
            <w:tcW w:type="dxa" w:w="1872"/>
            <w:vAlign w:val="center"/>
          </w:tcPr>
          <w:p>
            <w:pPr>
              <w:spacing w:after="0"/>
            </w:pPr>
            <w:r/>
            <w:r>
              <w:rPr>
                <w:rFonts w:ascii="Aptos" w:hAnsi="Aptos"/>
                <w:b w:val="0"/>
                <w:sz w:val="16"/>
              </w:rPr>
              <w:t>Configuration</w:t>
            </w:r>
          </w:p>
        </w:tc>
        <w:tc>
          <w:tcPr>
            <w:tcW w:type="dxa" w:w="3888"/>
            <w:vAlign w:val="center"/>
          </w:tcPr>
          <w:p>
            <w:pPr>
              <w:spacing w:after="0"/>
            </w:pPr>
            <w:r/>
            <w:r>
              <w:rPr>
                <w:rFonts w:ascii="Aptos" w:hAnsi="Aptos"/>
                <w:b w:val="0"/>
                <w:sz w:val="16"/>
              </w:rPr>
              <w:t>S3Paths, LLMConfig, RetrievalConfig, SpatialConfig, DecisionConfig</w:t>
            </w:r>
          </w:p>
        </w:tc>
        <w:tc>
          <w:tcPr>
            <w:tcW w:type="dxa" w:w="4752"/>
            <w:vAlign w:val="center"/>
          </w:tcPr>
          <w:p>
            <w:pPr>
              <w:spacing w:after="0"/>
            </w:pPr>
            <w:r/>
            <w:r>
              <w:rPr>
                <w:rFonts w:ascii="Aptos" w:hAnsi="Aptos"/>
                <w:b w:val="0"/>
                <w:sz w:val="16"/>
              </w:rPr>
              <w:t>All tunable values live here.</w:t>
            </w:r>
          </w:p>
        </w:tc>
      </w:tr>
      <w:tr>
        <w:trPr>
          <w:cantSplit/>
        </w:trPr>
        <w:tc>
          <w:tcPr>
            <w:tcW w:type="dxa" w:w="1872"/>
            <w:vAlign w:val="center"/>
          </w:tcPr>
          <w:p>
            <w:pPr>
              <w:spacing w:after="0"/>
            </w:pPr>
            <w:r/>
            <w:r>
              <w:rPr>
                <w:rFonts w:ascii="Aptos" w:hAnsi="Aptos"/>
                <w:b w:val="0"/>
                <w:sz w:val="16"/>
              </w:rPr>
              <w:t>Preprocessing</w:t>
            </w:r>
          </w:p>
        </w:tc>
        <w:tc>
          <w:tcPr>
            <w:tcW w:type="dxa" w:w="3888"/>
            <w:vAlign w:val="center"/>
          </w:tcPr>
          <w:p>
            <w:pPr>
              <w:spacing w:after="0"/>
            </w:pPr>
            <w:r/>
            <w:r>
              <w:rPr>
                <w:rFonts w:ascii="Aptos" w:hAnsi="Aptos"/>
                <w:b w:val="0"/>
                <w:sz w:val="16"/>
              </w:rPr>
              <w:t>canonicalise_*, preprocess_*, token index builders</w:t>
            </w:r>
          </w:p>
        </w:tc>
        <w:tc>
          <w:tcPr>
            <w:tcW w:type="dxa" w:w="4752"/>
            <w:vAlign w:val="center"/>
          </w:tcPr>
          <w:p>
            <w:pPr>
              <w:spacing w:after="0"/>
            </w:pPr>
            <w:r/>
            <w:r>
              <w:rPr>
                <w:rFonts w:ascii="Aptos" w:hAnsi="Aptos"/>
                <w:b w:val="0"/>
                <w:sz w:val="16"/>
              </w:rPr>
              <w:t>Converts raw OS/HMLR downloads into runtime-friendly Parquet/GeoParquet.</w:t>
            </w:r>
          </w:p>
        </w:tc>
      </w:tr>
      <w:tr>
        <w:trPr>
          <w:cantSplit/>
        </w:trPr>
        <w:tc>
          <w:tcPr>
            <w:tcW w:type="dxa" w:w="1872"/>
            <w:vAlign w:val="center"/>
          </w:tcPr>
          <w:p>
            <w:pPr>
              <w:spacing w:after="0"/>
            </w:pPr>
            <w:r/>
            <w:r>
              <w:rPr>
                <w:rFonts w:ascii="Aptos" w:hAnsi="Aptos"/>
                <w:b w:val="0"/>
                <w:sz w:val="16"/>
              </w:rPr>
              <w:t>Repositories</w:t>
            </w:r>
          </w:p>
        </w:tc>
        <w:tc>
          <w:tcPr>
            <w:tcW w:type="dxa" w:w="3888"/>
            <w:vAlign w:val="center"/>
          </w:tcPr>
          <w:p>
            <w:pPr>
              <w:spacing w:after="0"/>
            </w:pPr>
            <w:r/>
            <w:r>
              <w:rPr>
                <w:rFonts w:ascii="Aptos" w:hAnsi="Aptos"/>
                <w:b w:val="0"/>
                <w:sz w:val="16"/>
              </w:rPr>
              <w:t>PartitionStore, AddressRepository, NameRepository, VectorTileRepository, InspireRepository</w:t>
            </w:r>
          </w:p>
        </w:tc>
        <w:tc>
          <w:tcPr>
            <w:tcW w:type="dxa" w:w="4752"/>
            <w:vAlign w:val="center"/>
          </w:tcPr>
          <w:p>
            <w:pPr>
              <w:spacing w:after="0"/>
            </w:pPr>
            <w:r/>
            <w:r>
              <w:rPr>
                <w:rFonts w:ascii="Aptos" w:hAnsi="Aptos"/>
                <w:b w:val="0"/>
                <w:sz w:val="16"/>
              </w:rPr>
              <w:t>Read only the required S3 token/tile partitions.</w:t>
            </w:r>
          </w:p>
        </w:tc>
      </w:tr>
      <w:tr>
        <w:trPr>
          <w:cantSplit/>
        </w:trPr>
        <w:tc>
          <w:tcPr>
            <w:tcW w:type="dxa" w:w="1872"/>
            <w:vAlign w:val="center"/>
          </w:tcPr>
          <w:p>
            <w:pPr>
              <w:spacing w:after="0"/>
            </w:pPr>
            <w:r/>
            <w:r>
              <w:rPr>
                <w:rFonts w:ascii="Aptos" w:hAnsi="Aptos"/>
                <w:b w:val="0"/>
                <w:sz w:val="16"/>
              </w:rPr>
              <w:t>LLM language layer</w:t>
            </w:r>
          </w:p>
        </w:tc>
        <w:tc>
          <w:tcPr>
            <w:tcW w:type="dxa" w:w="3888"/>
            <w:vAlign w:val="center"/>
          </w:tcPr>
          <w:p>
            <w:pPr>
              <w:spacing w:after="0"/>
            </w:pPr>
            <w:r/>
            <w:r>
              <w:rPr>
                <w:rFonts w:ascii="Aptos" w:hAnsi="Aptos"/>
                <w:b w:val="0"/>
                <w:sz w:val="16"/>
              </w:rPr>
              <w:t>LLMServices</w:t>
            </w:r>
          </w:p>
        </w:tc>
        <w:tc>
          <w:tcPr>
            <w:tcW w:type="dxa" w:w="4752"/>
            <w:vAlign w:val="center"/>
          </w:tcPr>
          <w:p>
            <w:pPr>
              <w:spacing w:after="0"/>
            </w:pPr>
            <w:r/>
            <w:r>
              <w:rPr>
                <w:rFonts w:ascii="Aptos" w:hAnsi="Aptos"/>
                <w:b w:val="0"/>
                <w:sz w:val="16"/>
              </w:rPr>
              <w:t>Parse, verify, and generate safe linguistic search variants.</w:t>
            </w:r>
          </w:p>
        </w:tc>
      </w:tr>
      <w:tr>
        <w:trPr>
          <w:cantSplit/>
        </w:trPr>
        <w:tc>
          <w:tcPr>
            <w:tcW w:type="dxa" w:w="1872"/>
            <w:vAlign w:val="center"/>
          </w:tcPr>
          <w:p>
            <w:pPr>
              <w:spacing w:after="0"/>
            </w:pPr>
            <w:r/>
            <w:r>
              <w:rPr>
                <w:rFonts w:ascii="Aptos" w:hAnsi="Aptos"/>
                <w:b w:val="0"/>
                <w:sz w:val="16"/>
              </w:rPr>
              <w:t>Ambiguity layer</w:t>
            </w:r>
          </w:p>
        </w:tc>
        <w:tc>
          <w:tcPr>
            <w:tcW w:type="dxa" w:w="3888"/>
            <w:vAlign w:val="center"/>
          </w:tcPr>
          <w:p>
            <w:pPr>
              <w:spacing w:after="0"/>
            </w:pPr>
            <w:r/>
            <w:r>
              <w:rPr>
                <w:rFonts w:ascii="Aptos" w:hAnsi="Aptos"/>
                <w:b w:val="0"/>
                <w:sz w:val="16"/>
              </w:rPr>
              <w:t>AnchorResolver, AnchorHypothesis</w:t>
            </w:r>
          </w:p>
        </w:tc>
        <w:tc>
          <w:tcPr>
            <w:tcW w:type="dxa" w:w="4752"/>
            <w:vAlign w:val="center"/>
          </w:tcPr>
          <w:p>
            <w:pPr>
              <w:spacing w:after="0"/>
            </w:pPr>
            <w:r/>
            <w:r>
              <w:rPr>
                <w:rFonts w:ascii="Aptos" w:hAnsi="Aptos"/>
                <w:b w:val="0"/>
                <w:sz w:val="16"/>
              </w:rPr>
              <w:t>Retrieve N candidates per anchor and run geographic beam search.</w:t>
            </w:r>
          </w:p>
        </w:tc>
      </w:tr>
      <w:tr>
        <w:trPr>
          <w:cantSplit/>
        </w:trPr>
        <w:tc>
          <w:tcPr>
            <w:tcW w:type="dxa" w:w="1872"/>
            <w:vAlign w:val="center"/>
          </w:tcPr>
          <w:p>
            <w:pPr>
              <w:spacing w:after="0"/>
            </w:pPr>
            <w:r/>
            <w:r>
              <w:rPr>
                <w:rFonts w:ascii="Aptos" w:hAnsi="Aptos"/>
                <w:b w:val="0"/>
                <w:sz w:val="16"/>
              </w:rPr>
              <w:t>GIS context</w:t>
            </w:r>
          </w:p>
        </w:tc>
        <w:tc>
          <w:tcPr>
            <w:tcW w:type="dxa" w:w="3888"/>
            <w:vAlign w:val="center"/>
          </w:tcPr>
          <w:p>
            <w:pPr>
              <w:spacing w:after="0"/>
            </w:pPr>
            <w:r/>
            <w:r>
              <w:rPr>
                <w:rFonts w:ascii="Aptos" w:hAnsi="Aptos"/>
                <w:b w:val="0"/>
                <w:sz w:val="16"/>
              </w:rPr>
              <w:t>GeographicContext</w:t>
            </w:r>
          </w:p>
        </w:tc>
        <w:tc>
          <w:tcPr>
            <w:tcW w:type="dxa" w:w="4752"/>
            <w:vAlign w:val="center"/>
          </w:tcPr>
          <w:p>
            <w:pPr>
              <w:spacing w:after="0"/>
            </w:pPr>
            <w:r/>
            <w:r>
              <w:rPr>
                <w:rFonts w:ascii="Aptos" w:hAnsi="Aptos"/>
                <w:b w:val="0"/>
                <w:sz w:val="16"/>
              </w:rPr>
              <w:t>Attach road/river/anchor-parcel geometry.</w:t>
            </w:r>
          </w:p>
        </w:tc>
      </w:tr>
      <w:tr>
        <w:trPr>
          <w:cantSplit/>
        </w:trPr>
        <w:tc>
          <w:tcPr>
            <w:tcW w:type="dxa" w:w="1872"/>
            <w:vAlign w:val="center"/>
          </w:tcPr>
          <w:p>
            <w:pPr>
              <w:spacing w:after="0"/>
            </w:pPr>
            <w:r/>
            <w:r>
              <w:rPr>
                <w:rFonts w:ascii="Aptos" w:hAnsi="Aptos"/>
                <w:b w:val="0"/>
                <w:sz w:val="16"/>
              </w:rPr>
              <w:t>Spatial scoring</w:t>
            </w:r>
          </w:p>
        </w:tc>
        <w:tc>
          <w:tcPr>
            <w:tcW w:type="dxa" w:w="3888"/>
            <w:vAlign w:val="center"/>
          </w:tcPr>
          <w:p>
            <w:pPr>
              <w:spacing w:after="0"/>
            </w:pPr>
            <w:r/>
            <w:r>
              <w:rPr>
                <w:rFonts w:ascii="Aptos" w:hAnsi="Aptos"/>
                <w:b w:val="0"/>
                <w:sz w:val="16"/>
              </w:rPr>
              <w:t>SpatialEngine</w:t>
            </w:r>
          </w:p>
        </w:tc>
        <w:tc>
          <w:tcPr>
            <w:tcW w:type="dxa" w:w="4752"/>
            <w:vAlign w:val="center"/>
          </w:tcPr>
          <w:p>
            <w:pPr>
              <w:spacing w:after="0"/>
            </w:pPr>
            <w:r/>
            <w:r>
              <w:rPr>
                <w:rFonts w:ascii="Aptos" w:hAnsi="Aptos"/>
                <w:b w:val="0"/>
                <w:sz w:val="16"/>
              </w:rPr>
              <w:t>Turns legal/spatial phrases into measurable evidence.</w:t>
            </w:r>
          </w:p>
        </w:tc>
      </w:tr>
      <w:tr>
        <w:trPr>
          <w:cantSplit/>
        </w:trPr>
        <w:tc>
          <w:tcPr>
            <w:tcW w:type="dxa" w:w="1872"/>
            <w:vAlign w:val="center"/>
          </w:tcPr>
          <w:p>
            <w:pPr>
              <w:spacing w:after="0"/>
            </w:pPr>
            <w:r/>
            <w:r>
              <w:rPr>
                <w:rFonts w:ascii="Aptos" w:hAnsi="Aptos"/>
                <w:b w:val="0"/>
                <w:sz w:val="16"/>
              </w:rPr>
              <w:t>Candidate generation</w:t>
            </w:r>
          </w:p>
        </w:tc>
        <w:tc>
          <w:tcPr>
            <w:tcW w:type="dxa" w:w="3888"/>
            <w:vAlign w:val="center"/>
          </w:tcPr>
          <w:p>
            <w:pPr>
              <w:spacing w:after="0"/>
            </w:pPr>
            <w:r/>
            <w:r>
              <w:rPr>
                <w:rFonts w:ascii="Aptos" w:hAnsi="Aptos"/>
                <w:b w:val="0"/>
                <w:sz w:val="16"/>
              </w:rPr>
              <w:t>CandidateGenerator</w:t>
            </w:r>
          </w:p>
        </w:tc>
        <w:tc>
          <w:tcPr>
            <w:tcW w:type="dxa" w:w="4752"/>
            <w:vAlign w:val="center"/>
          </w:tcPr>
          <w:p>
            <w:pPr>
              <w:spacing w:after="0"/>
            </w:pPr>
            <w:r/>
            <w:r>
              <w:rPr>
                <w:rFonts w:ascii="Aptos" w:hAnsi="Aptos"/>
                <w:b w:val="0"/>
                <w:sz w:val="16"/>
              </w:rPr>
              <w:t>Runs each top anchor hypothesis against local INSPIRE polygons.</w:t>
            </w:r>
          </w:p>
        </w:tc>
      </w:tr>
      <w:tr>
        <w:trPr>
          <w:cantSplit/>
        </w:trPr>
        <w:tc>
          <w:tcPr>
            <w:tcW w:type="dxa" w:w="1872"/>
            <w:vAlign w:val="center"/>
          </w:tcPr>
          <w:p>
            <w:pPr>
              <w:spacing w:after="0"/>
            </w:pPr>
            <w:r/>
            <w:r>
              <w:rPr>
                <w:rFonts w:ascii="Aptos" w:hAnsi="Aptos"/>
                <w:b w:val="0"/>
                <w:sz w:val="16"/>
              </w:rPr>
              <w:t>Semantic check</w:t>
            </w:r>
          </w:p>
        </w:tc>
        <w:tc>
          <w:tcPr>
            <w:tcW w:type="dxa" w:w="3888"/>
            <w:vAlign w:val="center"/>
          </w:tcPr>
          <w:p>
            <w:pPr>
              <w:spacing w:after="0"/>
            </w:pPr>
            <w:r/>
            <w:r>
              <w:rPr>
                <w:rFonts w:ascii="Aptos" w:hAnsi="Aptos"/>
                <w:b w:val="0"/>
                <w:sz w:val="16"/>
              </w:rPr>
              <w:t>SemanticReasoner</w:t>
            </w:r>
          </w:p>
        </w:tc>
        <w:tc>
          <w:tcPr>
            <w:tcW w:type="dxa" w:w="4752"/>
            <w:vAlign w:val="center"/>
          </w:tcPr>
          <w:p>
            <w:pPr>
              <w:spacing w:after="0"/>
            </w:pPr>
            <w:r/>
            <w:r>
              <w:rPr>
                <w:rFonts w:ascii="Aptos" w:hAnsi="Aptos"/>
                <w:b w:val="0"/>
                <w:sz w:val="16"/>
              </w:rPr>
              <w:t>LLM reviews real evidence only.</w:t>
            </w:r>
          </w:p>
        </w:tc>
      </w:tr>
      <w:tr>
        <w:trPr>
          <w:cantSplit/>
        </w:trPr>
        <w:tc>
          <w:tcPr>
            <w:tcW w:type="dxa" w:w="1872"/>
            <w:vAlign w:val="center"/>
          </w:tcPr>
          <w:p>
            <w:pPr>
              <w:spacing w:after="0"/>
            </w:pPr>
            <w:r/>
            <w:r>
              <w:rPr>
                <w:rFonts w:ascii="Aptos" w:hAnsi="Aptos"/>
                <w:b w:val="0"/>
                <w:sz w:val="16"/>
              </w:rPr>
              <w:t>Decision layer</w:t>
            </w:r>
          </w:p>
        </w:tc>
        <w:tc>
          <w:tcPr>
            <w:tcW w:type="dxa" w:w="3888"/>
            <w:vAlign w:val="center"/>
          </w:tcPr>
          <w:p>
            <w:pPr>
              <w:spacing w:after="0"/>
            </w:pPr>
            <w:r/>
            <w:r>
              <w:rPr>
                <w:rFonts w:ascii="Aptos" w:hAnsi="Aptos"/>
                <w:b w:val="0"/>
                <w:sz w:val="16"/>
              </w:rPr>
              <w:t>finalise_candidates, decide_status, LandGeolocationPipeline</w:t>
            </w:r>
          </w:p>
        </w:tc>
        <w:tc>
          <w:tcPr>
            <w:tcW w:type="dxa" w:w="4752"/>
            <w:vAlign w:val="center"/>
          </w:tcPr>
          <w:p>
            <w:pPr>
              <w:spacing w:after="0"/>
            </w:pPr>
            <w:r/>
            <w:r>
              <w:rPr>
                <w:rFonts w:ascii="Aptos" w:hAnsi="Aptos"/>
                <w:b w:val="0"/>
                <w:sz w:val="16"/>
              </w:rPr>
              <w:t>Combines scores and returns conservative machine status.</w:t>
            </w:r>
          </w:p>
        </w:tc>
      </w:tr>
    </w:tbl>
    <w:p>
      <w:pPr>
        <w:spacing w:after="20"/>
      </w:pPr>
    </w:p>
    <w:p>
      <w:pPr>
        <w:pStyle w:val="Heading1"/>
      </w:pPr>
      <w:r>
        <w:t>10. Function and class reference</w:t>
      </w:r>
    </w:p>
    <w:tbl>
      <w:tblPr>
        <w:tblStyle w:val="TableGrid"/>
        <w:tblW w:type="auto" w:w="0"/>
        <w:jc w:val="center"/>
        <w:tblLook w:firstColumn="1" w:firstRow="1" w:lastColumn="0" w:lastRow="0" w:noHBand="0" w:noVBand="1" w:val="04A0"/>
      </w:tblPr>
      <w:tblGrid>
        <w:gridCol w:w="5083"/>
        <w:gridCol w:w="5083"/>
      </w:tblGrid>
      <w:tr>
        <w:trPr>
          <w:cantSplit/>
        </w:trPr>
        <w:tc>
          <w:tcPr>
            <w:tcW w:type="dxa" w:w="3816"/>
            <w:vAlign w:val="center"/>
            <w:shd w:fill="D9EAF7"/>
          </w:tcPr>
          <w:p>
            <w:pPr>
              <w:spacing w:after="0"/>
            </w:pPr>
            <w:r/>
            <w:r>
              <w:rPr>
                <w:rFonts w:ascii="Aptos" w:hAnsi="Aptos"/>
                <w:b/>
                <w:sz w:val="16"/>
              </w:rPr>
              <w:t>Function / class</w:t>
            </w:r>
          </w:p>
        </w:tc>
        <w:tc>
          <w:tcPr>
            <w:tcW w:type="dxa" w:w="6984"/>
            <w:vAlign w:val="center"/>
            <w:shd w:fill="D9EAF7"/>
          </w:tcPr>
          <w:p>
            <w:pPr>
              <w:spacing w:after="0"/>
            </w:pPr>
            <w:r/>
            <w:r>
              <w:rPr>
                <w:rFonts w:ascii="Aptos" w:hAnsi="Aptos"/>
                <w:b/>
                <w:sz w:val="16"/>
              </w:rPr>
              <w:t>What it does</w:t>
            </w:r>
          </w:p>
        </w:tc>
      </w:tr>
      <w:tr>
        <w:trPr>
          <w:cantSplit/>
        </w:trPr>
        <w:tc>
          <w:tcPr>
            <w:tcW w:type="dxa" w:w="3816"/>
            <w:vAlign w:val="center"/>
          </w:tcPr>
          <w:p>
            <w:pPr>
              <w:spacing w:after="0"/>
            </w:pPr>
            <w:r/>
            <w:r>
              <w:rPr>
                <w:rFonts w:ascii="Aptos" w:hAnsi="Aptos"/>
                <w:b w:val="0"/>
                <w:sz w:val="16"/>
              </w:rPr>
              <w:t>normalize_text / tokenise</w:t>
            </w:r>
          </w:p>
        </w:tc>
        <w:tc>
          <w:tcPr>
            <w:tcW w:type="dxa" w:w="6984"/>
            <w:vAlign w:val="center"/>
          </w:tcPr>
          <w:p>
            <w:pPr>
              <w:spacing w:after="0"/>
            </w:pPr>
            <w:r/>
            <w:r>
              <w:rPr>
                <w:rFonts w:ascii="Aptos" w:hAnsi="Aptos"/>
                <w:b w:val="0"/>
                <w:sz w:val="16"/>
              </w:rPr>
              <w:t>Normalises punctuation and common street abbreviations; creates search tokens.</w:t>
            </w:r>
          </w:p>
        </w:tc>
      </w:tr>
      <w:tr>
        <w:trPr>
          <w:cantSplit/>
        </w:trPr>
        <w:tc>
          <w:tcPr>
            <w:tcW w:type="dxa" w:w="3816"/>
            <w:vAlign w:val="center"/>
          </w:tcPr>
          <w:p>
            <w:pPr>
              <w:spacing w:after="0"/>
            </w:pPr>
            <w:r/>
            <w:r>
              <w:rPr>
                <w:rFonts w:ascii="Aptos" w:hAnsi="Aptos"/>
                <w:b w:val="0"/>
                <w:sz w:val="16"/>
              </w:rPr>
              <w:t>stable_bucket / uprn_bucket / token_bucket</w:t>
            </w:r>
          </w:p>
        </w:tc>
        <w:tc>
          <w:tcPr>
            <w:tcW w:type="dxa" w:w="6984"/>
            <w:vAlign w:val="center"/>
          </w:tcPr>
          <w:p>
            <w:pPr>
              <w:spacing w:after="0"/>
            </w:pPr>
            <w:r/>
            <w:r>
              <w:rPr>
                <w:rFonts w:ascii="Aptos" w:hAnsi="Aptos"/>
                <w:b w:val="0"/>
                <w:sz w:val="16"/>
              </w:rPr>
              <w:t>Deterministically assigns tokens/records to S3 hash partitions.</w:t>
            </w:r>
          </w:p>
        </w:tc>
      </w:tr>
      <w:tr>
        <w:trPr>
          <w:cantSplit/>
        </w:trPr>
        <w:tc>
          <w:tcPr>
            <w:tcW w:type="dxa" w:w="3816"/>
            <w:vAlign w:val="center"/>
          </w:tcPr>
          <w:p>
            <w:pPr>
              <w:spacing w:after="0"/>
            </w:pPr>
            <w:r/>
            <w:r>
              <w:rPr>
                <w:rFonts w:ascii="Aptos" w:hAnsi="Aptos"/>
                <w:b w:val="0"/>
                <w:sz w:val="16"/>
              </w:rPr>
              <w:t>tile10km / tiles_for_bbox</w:t>
            </w:r>
          </w:p>
        </w:tc>
        <w:tc>
          <w:tcPr>
            <w:tcW w:type="dxa" w:w="6984"/>
            <w:vAlign w:val="center"/>
          </w:tcPr>
          <w:p>
            <w:pPr>
              <w:spacing w:after="0"/>
            </w:pPr>
            <w:r/>
            <w:r>
              <w:rPr>
                <w:rFonts w:ascii="Aptos" w:hAnsi="Aptos"/>
                <w:b w:val="0"/>
                <w:sz w:val="16"/>
              </w:rPr>
              <w:t>Creates 10 km British National Grid tile keys for spatial partitioning.</w:t>
            </w:r>
          </w:p>
        </w:tc>
      </w:tr>
      <w:tr>
        <w:trPr>
          <w:cantSplit/>
        </w:trPr>
        <w:tc>
          <w:tcPr>
            <w:tcW w:type="dxa" w:w="3816"/>
            <w:vAlign w:val="center"/>
          </w:tcPr>
          <w:p>
            <w:pPr>
              <w:spacing w:after="0"/>
            </w:pPr>
            <w:r/>
            <w:r>
              <w:rPr>
                <w:rFonts w:ascii="Aptos" w:hAnsi="Aptos"/>
                <w:b w:val="0"/>
                <w:sz w:val="16"/>
              </w:rPr>
              <w:t>canonicalise_addressbase_chunk</w:t>
            </w:r>
          </w:p>
        </w:tc>
        <w:tc>
          <w:tcPr>
            <w:tcW w:type="dxa" w:w="6984"/>
            <w:vAlign w:val="center"/>
          </w:tcPr>
          <w:p>
            <w:pPr>
              <w:spacing w:after="0"/>
            </w:pPr>
            <w:r/>
            <w:r>
              <w:rPr>
                <w:rFonts w:ascii="Aptos" w:hAnsi="Aptos"/>
                <w:b w:val="0"/>
                <w:sz w:val="16"/>
              </w:rPr>
              <w:t>Auto-detects AddressBase columns and produces canonical address records.</w:t>
            </w:r>
          </w:p>
        </w:tc>
      </w:tr>
      <w:tr>
        <w:trPr>
          <w:cantSplit/>
        </w:trPr>
        <w:tc>
          <w:tcPr>
            <w:tcW w:type="dxa" w:w="3816"/>
            <w:vAlign w:val="center"/>
          </w:tcPr>
          <w:p>
            <w:pPr>
              <w:spacing w:after="0"/>
            </w:pPr>
            <w:r/>
            <w:r>
              <w:rPr>
                <w:rFonts w:ascii="Aptos" w:hAnsi="Aptos"/>
                <w:b w:val="0"/>
                <w:sz w:val="16"/>
              </w:rPr>
              <w:t>address_record_tokens / build_address_token_rows</w:t>
            </w:r>
          </w:p>
        </w:tc>
        <w:tc>
          <w:tcPr>
            <w:tcW w:type="dxa" w:w="6984"/>
            <w:vAlign w:val="center"/>
          </w:tcPr>
          <w:p>
            <w:pPr>
              <w:spacing w:after="0"/>
            </w:pPr>
            <w:r/>
            <w:r>
              <w:rPr>
                <w:rFonts w:ascii="Aptos" w:hAnsi="Aptos"/>
                <w:b w:val="0"/>
                <w:sz w:val="16"/>
              </w:rPr>
              <w:t>Builds the inverted index from address components and full address text.</w:t>
            </w:r>
          </w:p>
        </w:tc>
      </w:tr>
      <w:tr>
        <w:trPr>
          <w:cantSplit/>
        </w:trPr>
        <w:tc>
          <w:tcPr>
            <w:tcW w:type="dxa" w:w="3816"/>
            <w:vAlign w:val="center"/>
          </w:tcPr>
          <w:p>
            <w:pPr>
              <w:spacing w:after="0"/>
            </w:pPr>
            <w:r/>
            <w:r>
              <w:rPr>
                <w:rFonts w:ascii="Aptos" w:hAnsi="Aptos"/>
                <w:b w:val="0"/>
                <w:sz w:val="16"/>
              </w:rPr>
              <w:t>write_partitioned_parquet</w:t>
            </w:r>
          </w:p>
        </w:tc>
        <w:tc>
          <w:tcPr>
            <w:tcW w:type="dxa" w:w="6984"/>
            <w:vAlign w:val="center"/>
          </w:tcPr>
          <w:p>
            <w:pPr>
              <w:spacing w:after="0"/>
            </w:pPr>
            <w:r/>
            <w:r>
              <w:rPr>
                <w:rFonts w:ascii="Aptos" w:hAnsi="Aptos"/>
                <w:b w:val="0"/>
                <w:sz w:val="16"/>
              </w:rPr>
              <w:t>Writes canonical rows into S3/local partition folders.</w:t>
            </w:r>
          </w:p>
        </w:tc>
      </w:tr>
      <w:tr>
        <w:trPr>
          <w:cantSplit/>
        </w:trPr>
        <w:tc>
          <w:tcPr>
            <w:tcW w:type="dxa" w:w="3816"/>
            <w:vAlign w:val="center"/>
          </w:tcPr>
          <w:p>
            <w:pPr>
              <w:spacing w:after="0"/>
            </w:pPr>
            <w:r/>
            <w:r>
              <w:rPr>
                <w:rFonts w:ascii="Aptos" w:hAnsi="Aptos"/>
                <w:b w:val="0"/>
                <w:sz w:val="16"/>
              </w:rPr>
              <w:t>preprocess_addressbase_csv</w:t>
            </w:r>
          </w:p>
        </w:tc>
        <w:tc>
          <w:tcPr>
            <w:tcW w:type="dxa" w:w="6984"/>
            <w:vAlign w:val="center"/>
          </w:tcPr>
          <w:p>
            <w:pPr>
              <w:spacing w:after="0"/>
            </w:pPr>
            <w:r/>
            <w:r>
              <w:rPr>
                <w:rFonts w:ascii="Aptos" w:hAnsi="Aptos"/>
                <w:b w:val="0"/>
                <w:sz w:val="16"/>
              </w:rPr>
              <w:t>Streams AddressBase CSV in chunks and writes records + token index.</w:t>
            </w:r>
          </w:p>
        </w:tc>
      </w:tr>
      <w:tr>
        <w:trPr>
          <w:cantSplit/>
        </w:trPr>
        <w:tc>
          <w:tcPr>
            <w:tcW w:type="dxa" w:w="3816"/>
            <w:vAlign w:val="center"/>
          </w:tcPr>
          <w:p>
            <w:pPr>
              <w:spacing w:after="0"/>
            </w:pPr>
            <w:r/>
            <w:r>
              <w:rPr>
                <w:rFonts w:ascii="Aptos" w:hAnsi="Aptos"/>
                <w:b w:val="0"/>
                <w:sz w:val="16"/>
              </w:rPr>
              <w:t>canonicalise_open_names / build_name_token_rows</w:t>
            </w:r>
          </w:p>
        </w:tc>
        <w:tc>
          <w:tcPr>
            <w:tcW w:type="dxa" w:w="6984"/>
            <w:vAlign w:val="center"/>
          </w:tcPr>
          <w:p>
            <w:pPr>
              <w:spacing w:after="0"/>
            </w:pPr>
            <w:r/>
            <w:r>
              <w:rPr>
                <w:rFonts w:ascii="Aptos" w:hAnsi="Aptos"/>
                <w:b w:val="0"/>
                <w:sz w:val="16"/>
              </w:rPr>
              <w:t>Creates canonical OS Open Names records and name-token index.</w:t>
            </w:r>
          </w:p>
        </w:tc>
      </w:tr>
      <w:tr>
        <w:trPr>
          <w:cantSplit/>
        </w:trPr>
        <w:tc>
          <w:tcPr>
            <w:tcW w:type="dxa" w:w="3816"/>
            <w:vAlign w:val="center"/>
          </w:tcPr>
          <w:p>
            <w:pPr>
              <w:spacing w:after="0"/>
            </w:pPr>
            <w:r/>
            <w:r>
              <w:rPr>
                <w:rFonts w:ascii="Aptos" w:hAnsi="Aptos"/>
                <w:b w:val="0"/>
                <w:sz w:val="16"/>
              </w:rPr>
              <w:t>preprocess_vector_file</w:t>
            </w:r>
          </w:p>
        </w:tc>
        <w:tc>
          <w:tcPr>
            <w:tcW w:type="dxa" w:w="6984"/>
            <w:vAlign w:val="center"/>
          </w:tcPr>
          <w:p>
            <w:pPr>
              <w:spacing w:after="0"/>
            </w:pPr>
            <w:r/>
            <w:r>
              <w:rPr>
                <w:rFonts w:ascii="Aptos" w:hAnsi="Aptos"/>
                <w:b w:val="0"/>
                <w:sz w:val="16"/>
              </w:rPr>
              <w:t>Converts OS street/road/river vectors to EPSG:27700 tiled GeoParquet.</w:t>
            </w:r>
          </w:p>
        </w:tc>
      </w:tr>
      <w:tr>
        <w:trPr>
          <w:cantSplit/>
        </w:trPr>
        <w:tc>
          <w:tcPr>
            <w:tcW w:type="dxa" w:w="3816"/>
            <w:vAlign w:val="center"/>
          </w:tcPr>
          <w:p>
            <w:pPr>
              <w:spacing w:after="0"/>
            </w:pPr>
            <w:r/>
            <w:r>
              <w:rPr>
                <w:rFonts w:ascii="Aptos" w:hAnsi="Aptos"/>
                <w:b w:val="0"/>
                <w:sz w:val="16"/>
              </w:rPr>
              <w:t>preprocess_hmlr_inspire_gml</w:t>
            </w:r>
          </w:p>
        </w:tc>
        <w:tc>
          <w:tcPr>
            <w:tcW w:type="dxa" w:w="6984"/>
            <w:vAlign w:val="center"/>
          </w:tcPr>
          <w:p>
            <w:pPr>
              <w:spacing w:after="0"/>
            </w:pPr>
            <w:r/>
            <w:r>
              <w:rPr>
                <w:rFonts w:ascii="Aptos" w:hAnsi="Aptos"/>
                <w:b w:val="0"/>
                <w:sz w:val="16"/>
              </w:rPr>
              <w:t>Converts HMLR INSPIRE GML to tiled EPSG:27700 GeoParquet.</w:t>
            </w:r>
          </w:p>
        </w:tc>
      </w:tr>
      <w:tr>
        <w:trPr>
          <w:cantSplit/>
        </w:trPr>
        <w:tc>
          <w:tcPr>
            <w:tcW w:type="dxa" w:w="3816"/>
            <w:vAlign w:val="center"/>
          </w:tcPr>
          <w:p>
            <w:pPr>
              <w:spacing w:after="0"/>
            </w:pPr>
            <w:r/>
            <w:r>
              <w:rPr>
                <w:rFonts w:ascii="Aptos" w:hAnsi="Aptos"/>
                <w:b w:val="0"/>
                <w:sz w:val="16"/>
              </w:rPr>
              <w:t>PartitionStore</w:t>
            </w:r>
          </w:p>
        </w:tc>
        <w:tc>
          <w:tcPr>
            <w:tcW w:type="dxa" w:w="6984"/>
            <w:vAlign w:val="center"/>
          </w:tcPr>
          <w:p>
            <w:pPr>
              <w:spacing w:after="0"/>
            </w:pPr>
            <w:r/>
            <w:r>
              <w:rPr>
                <w:rFonts w:ascii="Aptos" w:hAnsi="Aptos"/>
                <w:b w:val="0"/>
                <w:sz w:val="16"/>
              </w:rPr>
              <w:t>Generic fsspec reader for S3/local Parquet partitions.</w:t>
            </w:r>
          </w:p>
        </w:tc>
      </w:tr>
      <w:tr>
        <w:trPr>
          <w:cantSplit/>
        </w:trPr>
        <w:tc>
          <w:tcPr>
            <w:tcW w:type="dxa" w:w="3816"/>
            <w:vAlign w:val="center"/>
          </w:tcPr>
          <w:p>
            <w:pPr>
              <w:spacing w:after="0"/>
            </w:pPr>
            <w:r/>
            <w:r>
              <w:rPr>
                <w:rFonts w:ascii="Aptos" w:hAnsi="Aptos"/>
                <w:b w:val="0"/>
                <w:sz w:val="16"/>
              </w:rPr>
              <w:t>TokenStats.rarity</w:t>
            </w:r>
          </w:p>
        </w:tc>
        <w:tc>
          <w:tcPr>
            <w:tcW w:type="dxa" w:w="6984"/>
            <w:vAlign w:val="center"/>
          </w:tcPr>
          <w:p>
            <w:pPr>
              <w:spacing w:after="0"/>
            </w:pPr>
            <w:r/>
            <w:r>
              <w:rPr>
                <w:rFonts w:ascii="Aptos" w:hAnsi="Aptos"/>
                <w:b w:val="0"/>
                <w:sz w:val="16"/>
              </w:rPr>
              <w:t>Uses token frequency to prefer selective words over common words.</w:t>
            </w:r>
          </w:p>
        </w:tc>
      </w:tr>
      <w:tr>
        <w:trPr>
          <w:cantSplit/>
        </w:trPr>
        <w:tc>
          <w:tcPr>
            <w:tcW w:type="dxa" w:w="3816"/>
            <w:vAlign w:val="center"/>
          </w:tcPr>
          <w:p>
            <w:pPr>
              <w:spacing w:after="0"/>
            </w:pPr>
            <w:r/>
            <w:r>
              <w:rPr>
                <w:rFonts w:ascii="Aptos" w:hAnsi="Aptos"/>
                <w:b w:val="0"/>
                <w:sz w:val="16"/>
              </w:rPr>
              <w:t>AddressRepository.search</w:t>
            </w:r>
          </w:p>
        </w:tc>
        <w:tc>
          <w:tcPr>
            <w:tcW w:type="dxa" w:w="6984"/>
            <w:vAlign w:val="center"/>
          </w:tcPr>
          <w:p>
            <w:pPr>
              <w:spacing w:after="0"/>
            </w:pPr>
            <w:r/>
            <w:r>
              <w:rPr>
                <w:rFonts w:ascii="Aptos" w:hAnsi="Aptos"/>
                <w:b w:val="0"/>
                <w:sz w:val="16"/>
              </w:rPr>
              <w:t>Retrieves UPRNs through token hits, fetches records, then performs component-aware fuzzy scoring.</w:t>
            </w:r>
          </w:p>
        </w:tc>
      </w:tr>
      <w:tr>
        <w:trPr>
          <w:cantSplit/>
        </w:trPr>
        <w:tc>
          <w:tcPr>
            <w:tcW w:type="dxa" w:w="3816"/>
            <w:vAlign w:val="center"/>
          </w:tcPr>
          <w:p>
            <w:pPr>
              <w:spacing w:after="0"/>
            </w:pPr>
            <w:r/>
            <w:r>
              <w:rPr>
                <w:rFonts w:ascii="Aptos" w:hAnsi="Aptos"/>
                <w:b w:val="0"/>
                <w:sz w:val="16"/>
              </w:rPr>
              <w:t>NameRepository.search</w:t>
            </w:r>
          </w:p>
        </w:tc>
        <w:tc>
          <w:tcPr>
            <w:tcW w:type="dxa" w:w="6984"/>
            <w:vAlign w:val="center"/>
          </w:tcPr>
          <w:p>
            <w:pPr>
              <w:spacing w:after="0"/>
            </w:pPr>
            <w:r/>
            <w:r>
              <w:rPr>
                <w:rFonts w:ascii="Aptos" w:hAnsi="Aptos"/>
                <w:b w:val="0"/>
                <w:sz w:val="16"/>
              </w:rPr>
              <w:t>Resolves named place/road/landmark candidates from OS Open Names.</w:t>
            </w:r>
          </w:p>
        </w:tc>
      </w:tr>
      <w:tr>
        <w:trPr>
          <w:cantSplit/>
        </w:trPr>
        <w:tc>
          <w:tcPr>
            <w:tcW w:type="dxa" w:w="3816"/>
            <w:vAlign w:val="center"/>
          </w:tcPr>
          <w:p>
            <w:pPr>
              <w:spacing w:after="0"/>
            </w:pPr>
            <w:r/>
            <w:r>
              <w:rPr>
                <w:rFonts w:ascii="Aptos" w:hAnsi="Aptos"/>
                <w:b w:val="0"/>
                <w:sz w:val="16"/>
              </w:rPr>
              <w:t>VectorTileRepository.in_bbox</w:t>
            </w:r>
          </w:p>
        </w:tc>
        <w:tc>
          <w:tcPr>
            <w:tcW w:type="dxa" w:w="6984"/>
            <w:vAlign w:val="center"/>
          </w:tcPr>
          <w:p>
            <w:pPr>
              <w:spacing w:after="0"/>
            </w:pPr>
            <w:r/>
            <w:r>
              <w:rPr>
                <w:rFonts w:ascii="Aptos" w:hAnsi="Aptos"/>
                <w:b w:val="0"/>
                <w:sz w:val="16"/>
              </w:rPr>
              <w:t>Loads only vector tiles intersecting a geographic bounding box.</w:t>
            </w:r>
          </w:p>
        </w:tc>
      </w:tr>
      <w:tr>
        <w:trPr>
          <w:cantSplit/>
        </w:trPr>
        <w:tc>
          <w:tcPr>
            <w:tcW w:type="dxa" w:w="3816"/>
            <w:vAlign w:val="center"/>
          </w:tcPr>
          <w:p>
            <w:pPr>
              <w:spacing w:after="0"/>
            </w:pPr>
            <w:r/>
            <w:r>
              <w:rPr>
                <w:rFonts w:ascii="Aptos" w:hAnsi="Aptos"/>
                <w:b w:val="0"/>
                <w:sz w:val="16"/>
              </w:rPr>
              <w:t>InspireRepository.candidates</w:t>
            </w:r>
          </w:p>
        </w:tc>
        <w:tc>
          <w:tcPr>
            <w:tcW w:type="dxa" w:w="6984"/>
            <w:vAlign w:val="center"/>
          </w:tcPr>
          <w:p>
            <w:pPr>
              <w:spacing w:after="0"/>
            </w:pPr>
            <w:r/>
            <w:r>
              <w:rPr>
                <w:rFonts w:ascii="Aptos" w:hAnsi="Aptos"/>
                <w:b w:val="0"/>
                <w:sz w:val="16"/>
              </w:rPr>
              <w:t>Returns local HMLR INSPIRE candidates, capped for performance.</w:t>
            </w:r>
          </w:p>
        </w:tc>
      </w:tr>
      <w:tr>
        <w:trPr>
          <w:cantSplit/>
        </w:trPr>
        <w:tc>
          <w:tcPr>
            <w:tcW w:type="dxa" w:w="3816"/>
            <w:vAlign w:val="center"/>
          </w:tcPr>
          <w:p>
            <w:pPr>
              <w:spacing w:after="0"/>
            </w:pPr>
            <w:r/>
            <w:r>
              <w:rPr>
                <w:rFonts w:ascii="Aptos" w:hAnsi="Aptos"/>
                <w:b w:val="0"/>
                <w:sz w:val="16"/>
              </w:rPr>
              <w:t>LLMServices.parse_description</w:t>
            </w:r>
          </w:p>
        </w:tc>
        <w:tc>
          <w:tcPr>
            <w:tcW w:type="dxa" w:w="6984"/>
            <w:vAlign w:val="center"/>
          </w:tcPr>
          <w:p>
            <w:pPr>
              <w:spacing w:after="0"/>
            </w:pPr>
            <w:r/>
            <w:r>
              <w:rPr>
                <w:rFonts w:ascii="Aptos" w:hAnsi="Aptos"/>
                <w:b w:val="0"/>
                <w:sz w:val="16"/>
              </w:rPr>
              <w:t>Structured Azure OpenAI parse of subject, anchors and constraints.</w:t>
            </w:r>
          </w:p>
        </w:tc>
      </w:tr>
      <w:tr>
        <w:trPr>
          <w:cantSplit/>
        </w:trPr>
        <w:tc>
          <w:tcPr>
            <w:tcW w:type="dxa" w:w="3816"/>
            <w:vAlign w:val="center"/>
          </w:tcPr>
          <w:p>
            <w:pPr>
              <w:spacing w:after="0"/>
            </w:pPr>
            <w:r/>
            <w:r>
              <w:rPr>
                <w:rFonts w:ascii="Aptos" w:hAnsi="Aptos"/>
                <w:b w:val="0"/>
                <w:sz w:val="16"/>
              </w:rPr>
              <w:t>LLMServices.search_variants</w:t>
            </w:r>
          </w:p>
        </w:tc>
        <w:tc>
          <w:tcPr>
            <w:tcW w:type="dxa" w:w="6984"/>
            <w:vAlign w:val="center"/>
          </w:tcPr>
          <w:p>
            <w:pPr>
              <w:spacing w:after="0"/>
            </w:pPr>
            <w:r/>
            <w:r>
              <w:rPr>
                <w:rFonts w:ascii="Aptos" w:hAnsi="Aptos"/>
                <w:b w:val="0"/>
                <w:sz w:val="16"/>
              </w:rPr>
              <w:t>Creates safe linguistic variants when deterministic retrieval is weak.</w:t>
            </w:r>
          </w:p>
        </w:tc>
      </w:tr>
      <w:tr>
        <w:trPr>
          <w:cantSplit/>
        </w:trPr>
        <w:tc>
          <w:tcPr>
            <w:tcW w:type="dxa" w:w="3816"/>
            <w:vAlign w:val="center"/>
          </w:tcPr>
          <w:p>
            <w:pPr>
              <w:spacing w:after="0"/>
            </w:pPr>
            <w:r/>
            <w:r>
              <w:rPr>
                <w:rFonts w:ascii="Aptos" w:hAnsi="Aptos"/>
                <w:b w:val="0"/>
                <w:sz w:val="16"/>
              </w:rPr>
              <w:t>AnchorResolver.retrieve_anchor</w:t>
            </w:r>
          </w:p>
        </w:tc>
        <w:tc>
          <w:tcPr>
            <w:tcW w:type="dxa" w:w="6984"/>
            <w:vAlign w:val="center"/>
          </w:tcPr>
          <w:p>
            <w:pPr>
              <w:spacing w:after="0"/>
            </w:pPr>
            <w:r/>
            <w:r>
              <w:rPr>
                <w:rFonts w:ascii="Aptos" w:hAnsi="Aptos"/>
                <w:b w:val="0"/>
                <w:sz w:val="16"/>
              </w:rPr>
              <w:t>Routes an anchor to AddressBase or Open Names and applies fallback variants.</w:t>
            </w:r>
          </w:p>
        </w:tc>
      </w:tr>
      <w:tr>
        <w:trPr>
          <w:cantSplit/>
        </w:trPr>
        <w:tc>
          <w:tcPr>
            <w:tcW w:type="dxa" w:w="3816"/>
            <w:vAlign w:val="center"/>
          </w:tcPr>
          <w:p>
            <w:pPr>
              <w:spacing w:after="0"/>
            </w:pPr>
            <w:r/>
            <w:r>
              <w:rPr>
                <w:rFonts w:ascii="Aptos" w:hAnsi="Aptos"/>
                <w:b w:val="0"/>
                <w:sz w:val="16"/>
              </w:rPr>
              <w:t>AnchorResolver.build_hypotheses</w:t>
            </w:r>
          </w:p>
        </w:tc>
        <w:tc>
          <w:tcPr>
            <w:tcW w:type="dxa" w:w="6984"/>
            <w:vAlign w:val="center"/>
          </w:tcPr>
          <w:p>
            <w:pPr>
              <w:spacing w:after="0"/>
            </w:pPr>
            <w:r/>
            <w:r>
              <w:rPr>
                <w:rFonts w:ascii="Aptos" w:hAnsi="Aptos"/>
                <w:b w:val="0"/>
                <w:sz w:val="16"/>
              </w:rPr>
              <w:t>Beam-searches combinations of anchor candidates using lexical and geographic coherence.</w:t>
            </w:r>
          </w:p>
        </w:tc>
      </w:tr>
      <w:tr>
        <w:trPr>
          <w:cantSplit/>
        </w:trPr>
        <w:tc>
          <w:tcPr>
            <w:tcW w:type="dxa" w:w="3816"/>
            <w:vAlign w:val="center"/>
          </w:tcPr>
          <w:p>
            <w:pPr>
              <w:spacing w:after="0"/>
            </w:pPr>
            <w:r/>
            <w:r>
              <w:rPr>
                <w:rFonts w:ascii="Aptos" w:hAnsi="Aptos"/>
                <w:b w:val="0"/>
                <w:sz w:val="16"/>
              </w:rPr>
              <w:t>GeographicContext.enrich_candidate</w:t>
            </w:r>
          </w:p>
        </w:tc>
        <w:tc>
          <w:tcPr>
            <w:tcW w:type="dxa" w:w="6984"/>
            <w:vAlign w:val="center"/>
          </w:tcPr>
          <w:p>
            <w:pPr>
              <w:spacing w:after="0"/>
            </w:pPr>
            <w:r/>
            <w:r>
              <w:rPr>
                <w:rFonts w:ascii="Aptos" w:hAnsi="Aptos"/>
                <w:b w:val="0"/>
                <w:sz w:val="16"/>
              </w:rPr>
              <w:t>Adds linear feature geometry and/or nearby anchor INSPIRE extent.</w:t>
            </w:r>
          </w:p>
        </w:tc>
      </w:tr>
      <w:tr>
        <w:trPr>
          <w:cantSplit/>
        </w:trPr>
        <w:tc>
          <w:tcPr>
            <w:tcW w:type="dxa" w:w="3816"/>
            <w:vAlign w:val="center"/>
          </w:tcPr>
          <w:p>
            <w:pPr>
              <w:spacing w:after="0"/>
            </w:pPr>
            <w:r/>
            <w:r>
              <w:rPr>
                <w:rFonts w:ascii="Aptos" w:hAnsi="Aptos"/>
                <w:b w:val="0"/>
                <w:sz w:val="16"/>
              </w:rPr>
              <w:t>GeographicContext.nearest_road_to_property</w:t>
            </w:r>
          </w:p>
        </w:tc>
        <w:tc>
          <w:tcPr>
            <w:tcW w:type="dxa" w:w="6984"/>
            <w:vAlign w:val="center"/>
          </w:tcPr>
          <w:p>
            <w:pPr>
              <w:spacing w:after="0"/>
            </w:pPr>
            <w:r/>
            <w:r>
              <w:rPr>
                <w:rFonts w:ascii="Aptos" w:hAnsi="Aptos"/>
                <w:b w:val="0"/>
                <w:sz w:val="16"/>
              </w:rPr>
              <w:t>Finds a nearby road/street line for rear/front/opposite heuristics.</w:t>
            </w:r>
          </w:p>
        </w:tc>
      </w:tr>
      <w:tr>
        <w:trPr>
          <w:cantSplit/>
        </w:trPr>
        <w:tc>
          <w:tcPr>
            <w:tcW w:type="dxa" w:w="3816"/>
            <w:vAlign w:val="center"/>
          </w:tcPr>
          <w:p>
            <w:pPr>
              <w:spacing w:after="0"/>
            </w:pPr>
            <w:r/>
            <w:r>
              <w:rPr>
                <w:rFonts w:ascii="Aptos" w:hAnsi="Aptos"/>
                <w:b w:val="0"/>
                <w:sz w:val="16"/>
              </w:rPr>
              <w:t>hypothesis_search_bbox</w:t>
            </w:r>
          </w:p>
        </w:tc>
        <w:tc>
          <w:tcPr>
            <w:tcW w:type="dxa" w:w="6984"/>
            <w:vAlign w:val="center"/>
          </w:tcPr>
          <w:p>
            <w:pPr>
              <w:spacing w:after="0"/>
            </w:pPr>
            <w:r/>
            <w:r>
              <w:rPr>
                <w:rFonts w:ascii="Aptos" w:hAnsi="Aptos"/>
                <w:b w:val="0"/>
                <w:sz w:val="16"/>
              </w:rPr>
              <w:t>Creates the adaptive local subject search area.</w:t>
            </w:r>
          </w:p>
        </w:tc>
      </w:tr>
      <w:tr>
        <w:trPr>
          <w:cantSplit/>
        </w:trPr>
        <w:tc>
          <w:tcPr>
            <w:tcW w:type="dxa" w:w="3816"/>
            <w:vAlign w:val="center"/>
          </w:tcPr>
          <w:p>
            <w:pPr>
              <w:spacing w:after="0"/>
            </w:pPr>
            <w:r/>
            <w:r>
              <w:rPr>
                <w:rFonts w:ascii="Aptos" w:hAnsi="Aptos"/>
                <w:b w:val="0"/>
                <w:sz w:val="16"/>
              </w:rPr>
              <w:t>SpatialEngine.adjacent</w:t>
            </w:r>
          </w:p>
        </w:tc>
        <w:tc>
          <w:tcPr>
            <w:tcW w:type="dxa" w:w="6984"/>
            <w:vAlign w:val="center"/>
          </w:tcPr>
          <w:p>
            <w:pPr>
              <w:spacing w:after="0"/>
            </w:pPr>
            <w:r/>
            <w:r>
              <w:rPr>
                <w:rFonts w:ascii="Aptos" w:hAnsi="Aptos"/>
                <w:b w:val="0"/>
                <w:sz w:val="16"/>
              </w:rPr>
              <w:t>Scores boundary proximity and deliberately down-ranks a candidate that is exactly the same indicative INSPIRE extent as the anchor.</w:t>
            </w:r>
          </w:p>
        </w:tc>
      </w:tr>
      <w:tr>
        <w:trPr>
          <w:cantSplit/>
        </w:trPr>
        <w:tc>
          <w:tcPr>
            <w:tcW w:type="dxa" w:w="3816"/>
            <w:vAlign w:val="center"/>
          </w:tcPr>
          <w:p>
            <w:pPr>
              <w:spacing w:after="0"/>
            </w:pPr>
            <w:r/>
            <w:r>
              <w:rPr>
                <w:rFonts w:ascii="Aptos" w:hAnsi="Aptos"/>
                <w:b w:val="0"/>
                <w:sz w:val="16"/>
              </w:rPr>
              <w:t>SpatialEngine.between</w:t>
            </w:r>
          </w:p>
        </w:tc>
        <w:tc>
          <w:tcPr>
            <w:tcW w:type="dxa" w:w="6984"/>
            <w:vAlign w:val="center"/>
          </w:tcPr>
          <w:p>
            <w:pPr>
              <w:spacing w:after="0"/>
            </w:pPr>
            <w:r/>
            <w:r>
              <w:rPr>
                <w:rFonts w:ascii="Aptos" w:hAnsi="Aptos"/>
                <w:b w:val="0"/>
                <w:sz w:val="16"/>
              </w:rPr>
              <w:t>Builds a buffered line/convex-hull zone through 2+ anchors and scores candidate overlap.</w:t>
            </w:r>
          </w:p>
        </w:tc>
      </w:tr>
      <w:tr>
        <w:trPr>
          <w:cantSplit/>
        </w:trPr>
        <w:tc>
          <w:tcPr>
            <w:tcW w:type="dxa" w:w="3816"/>
            <w:vAlign w:val="center"/>
          </w:tcPr>
          <w:p>
            <w:pPr>
              <w:spacing w:after="0"/>
            </w:pPr>
            <w:r/>
            <w:r>
              <w:rPr>
                <w:rFonts w:ascii="Aptos" w:hAnsi="Aptos"/>
                <w:b w:val="0"/>
                <w:sz w:val="16"/>
              </w:rPr>
              <w:t>SpatialEngine.directional</w:t>
            </w:r>
          </w:p>
        </w:tc>
        <w:tc>
          <w:tcPr>
            <w:tcW w:type="dxa" w:w="6984"/>
            <w:vAlign w:val="center"/>
          </w:tcPr>
          <w:p>
            <w:pPr>
              <w:spacing w:after="0"/>
            </w:pPr>
            <w:r/>
            <w:r>
              <w:rPr>
                <w:rFonts w:ascii="Aptos" w:hAnsi="Aptos"/>
                <w:b w:val="0"/>
                <w:sz w:val="16"/>
              </w:rPr>
              <w:t>Scores north/south/east/west bearing consistency.</w:t>
            </w:r>
          </w:p>
        </w:tc>
      </w:tr>
      <w:tr>
        <w:trPr>
          <w:cantSplit/>
        </w:trPr>
        <w:tc>
          <w:tcPr>
            <w:tcW w:type="dxa" w:w="3816"/>
            <w:vAlign w:val="center"/>
          </w:tcPr>
          <w:p>
            <w:pPr>
              <w:spacing w:after="0"/>
            </w:pPr>
            <w:r/>
            <w:r>
              <w:rPr>
                <w:rFonts w:ascii="Aptos" w:hAnsi="Aptos"/>
                <w:b w:val="0"/>
                <w:sz w:val="16"/>
              </w:rPr>
              <w:t>SpatialEngine.bounded_by</w:t>
            </w:r>
          </w:p>
        </w:tc>
        <w:tc>
          <w:tcPr>
            <w:tcW w:type="dxa" w:w="6984"/>
            <w:vAlign w:val="center"/>
          </w:tcPr>
          <w:p>
            <w:pPr>
              <w:spacing w:after="0"/>
            </w:pPr>
            <w:r/>
            <w:r>
              <w:rPr>
                <w:rFonts w:ascii="Aptos" w:hAnsi="Aptos"/>
                <w:b w:val="0"/>
                <w:sz w:val="16"/>
              </w:rPr>
              <w:t>Combines candidate-boundary distance and stated boundary side.</w:t>
            </w:r>
          </w:p>
        </w:tc>
      </w:tr>
      <w:tr>
        <w:trPr>
          <w:cantSplit/>
        </w:trPr>
        <w:tc>
          <w:tcPr>
            <w:tcW w:type="dxa" w:w="3816"/>
            <w:vAlign w:val="center"/>
          </w:tcPr>
          <w:p>
            <w:pPr>
              <w:spacing w:after="0"/>
            </w:pPr>
            <w:r/>
            <w:r>
              <w:rPr>
                <w:rFonts w:ascii="Aptos" w:hAnsi="Aptos"/>
                <w:b w:val="0"/>
                <w:sz w:val="16"/>
              </w:rPr>
              <w:t>SpatialEngine.rear_front</w:t>
            </w:r>
          </w:p>
        </w:tc>
        <w:tc>
          <w:tcPr>
            <w:tcW w:type="dxa" w:w="6984"/>
            <w:vAlign w:val="center"/>
          </w:tcPr>
          <w:p>
            <w:pPr>
              <w:spacing w:after="0"/>
            </w:pPr>
            <w:r/>
            <w:r>
              <w:rPr>
                <w:rFonts w:ascii="Aptos" w:hAnsi="Aptos"/>
                <w:b w:val="0"/>
                <w:sz w:val="16"/>
              </w:rPr>
              <w:t>Infers rear/front using the nearest road direction and subject position.</w:t>
            </w:r>
          </w:p>
        </w:tc>
      </w:tr>
      <w:tr>
        <w:trPr>
          <w:cantSplit/>
        </w:trPr>
        <w:tc>
          <w:tcPr>
            <w:tcW w:type="dxa" w:w="3816"/>
            <w:vAlign w:val="center"/>
          </w:tcPr>
          <w:p>
            <w:pPr>
              <w:spacing w:after="0"/>
            </w:pPr>
            <w:r/>
            <w:r>
              <w:rPr>
                <w:rFonts w:ascii="Aptos" w:hAnsi="Aptos"/>
                <w:b w:val="0"/>
                <w:sz w:val="16"/>
              </w:rPr>
              <w:t>SpatialEngine.opposite</w:t>
            </w:r>
          </w:p>
        </w:tc>
        <w:tc>
          <w:tcPr>
            <w:tcW w:type="dxa" w:w="6984"/>
            <w:vAlign w:val="center"/>
          </w:tcPr>
          <w:p>
            <w:pPr>
              <w:spacing w:after="0"/>
            </w:pPr>
            <w:r/>
            <w:r>
              <w:rPr>
                <w:rFonts w:ascii="Aptos" w:hAnsi="Aptos"/>
                <w:b w:val="0"/>
                <w:sz w:val="16"/>
              </w:rPr>
              <w:t>Checks whether a road lies between the anchor and candidate and rewards local proximity.</w:t>
            </w:r>
          </w:p>
        </w:tc>
      </w:tr>
      <w:tr>
        <w:trPr>
          <w:cantSplit/>
        </w:trPr>
        <w:tc>
          <w:tcPr>
            <w:tcW w:type="dxa" w:w="3816"/>
            <w:vAlign w:val="center"/>
          </w:tcPr>
          <w:p>
            <w:pPr>
              <w:spacing w:after="0"/>
            </w:pPr>
            <w:r/>
            <w:r>
              <w:rPr>
                <w:rFonts w:ascii="Aptos" w:hAnsi="Aptos"/>
                <w:b w:val="0"/>
                <w:sz w:val="16"/>
              </w:rPr>
              <w:t>SpatialEngine.evaluate / score_candidate</w:t>
            </w:r>
          </w:p>
        </w:tc>
        <w:tc>
          <w:tcPr>
            <w:tcW w:type="dxa" w:w="6984"/>
            <w:vAlign w:val="center"/>
          </w:tcPr>
          <w:p>
            <w:pPr>
              <w:spacing w:after="0"/>
            </w:pPr>
            <w:r/>
            <w:r>
              <w:rPr>
                <w:rFonts w:ascii="Aptos" w:hAnsi="Aptos"/>
                <w:b w:val="0"/>
                <w:sz w:val="16"/>
              </w:rPr>
              <w:t>Routes each constraint, tracks unavailable evidence, coverage and required contradictions.</w:t>
            </w:r>
          </w:p>
        </w:tc>
      </w:tr>
      <w:tr>
        <w:trPr>
          <w:cantSplit/>
        </w:trPr>
        <w:tc>
          <w:tcPr>
            <w:tcW w:type="dxa" w:w="3816"/>
            <w:vAlign w:val="center"/>
          </w:tcPr>
          <w:p>
            <w:pPr>
              <w:spacing w:after="0"/>
            </w:pPr>
            <w:r/>
            <w:r>
              <w:rPr>
                <w:rFonts w:ascii="Aptos" w:hAnsi="Aptos"/>
                <w:b w:val="0"/>
                <w:sz w:val="16"/>
              </w:rPr>
              <w:t>CandidateGenerator.generate</w:t>
            </w:r>
          </w:p>
        </w:tc>
        <w:tc>
          <w:tcPr>
            <w:tcW w:type="dxa" w:w="6984"/>
            <w:vAlign w:val="center"/>
          </w:tcPr>
          <w:p>
            <w:pPr>
              <w:spacing w:after="0"/>
            </w:pPr>
            <w:r/>
            <w:r>
              <w:rPr>
                <w:rFonts w:ascii="Aptos" w:hAnsi="Aptos"/>
                <w:b w:val="0"/>
                <w:sz w:val="16"/>
              </w:rPr>
              <w:t>Scores local INSPIRE polygons under each anchor hypothesis and deduplicates by INSPIRE ID.</w:t>
            </w:r>
          </w:p>
        </w:tc>
      </w:tr>
      <w:tr>
        <w:trPr>
          <w:cantSplit/>
        </w:trPr>
        <w:tc>
          <w:tcPr>
            <w:tcW w:type="dxa" w:w="3816"/>
            <w:vAlign w:val="center"/>
          </w:tcPr>
          <w:p>
            <w:pPr>
              <w:spacing w:after="0"/>
            </w:pPr>
            <w:r/>
            <w:r>
              <w:rPr>
                <w:rFonts w:ascii="Aptos" w:hAnsi="Aptos"/>
                <w:b w:val="0"/>
                <w:sz w:val="16"/>
              </w:rPr>
              <w:t>SemanticReasoner.assess</w:t>
            </w:r>
          </w:p>
        </w:tc>
        <w:tc>
          <w:tcPr>
            <w:tcW w:type="dxa" w:w="6984"/>
            <w:vAlign w:val="center"/>
          </w:tcPr>
          <w:p>
            <w:pPr>
              <w:spacing w:after="0"/>
            </w:pPr>
            <w:r/>
            <w:r>
              <w:rPr>
                <w:rFonts w:ascii="Aptos" w:hAnsi="Aptos"/>
                <w:b w:val="0"/>
                <w:sz w:val="16"/>
              </w:rPr>
              <w:t>LLM semantically reviews top real candidate evidence without inventing geography.</w:t>
            </w:r>
          </w:p>
        </w:tc>
      </w:tr>
      <w:tr>
        <w:trPr>
          <w:cantSplit/>
        </w:trPr>
        <w:tc>
          <w:tcPr>
            <w:tcW w:type="dxa" w:w="3816"/>
            <w:vAlign w:val="center"/>
          </w:tcPr>
          <w:p>
            <w:pPr>
              <w:spacing w:after="0"/>
            </w:pPr>
            <w:r/>
            <w:r>
              <w:rPr>
                <w:rFonts w:ascii="Aptos" w:hAnsi="Aptos"/>
                <w:b w:val="0"/>
                <w:sz w:val="16"/>
              </w:rPr>
              <w:t>finalise_candidates</w:t>
            </w:r>
          </w:p>
        </w:tc>
        <w:tc>
          <w:tcPr>
            <w:tcW w:type="dxa" w:w="6984"/>
            <w:vAlign w:val="center"/>
          </w:tcPr>
          <w:p>
            <w:pPr>
              <w:spacing w:after="0"/>
            </w:pPr>
            <w:r/>
            <w:r>
              <w:rPr>
                <w:rFonts w:ascii="Aptos" w:hAnsi="Aptos"/>
                <w:b w:val="0"/>
                <w:sz w:val="16"/>
              </w:rPr>
              <w:t>Combines spatial, anchor, semantic and coverage scores.</w:t>
            </w:r>
          </w:p>
        </w:tc>
      </w:tr>
      <w:tr>
        <w:trPr>
          <w:cantSplit/>
        </w:trPr>
        <w:tc>
          <w:tcPr>
            <w:tcW w:type="dxa" w:w="3816"/>
            <w:vAlign w:val="center"/>
          </w:tcPr>
          <w:p>
            <w:pPr>
              <w:spacing w:after="0"/>
            </w:pPr>
            <w:r/>
            <w:r>
              <w:rPr>
                <w:rFonts w:ascii="Aptos" w:hAnsi="Aptos"/>
                <w:b w:val="0"/>
                <w:sz w:val="16"/>
              </w:rPr>
              <w:t>decide_status</w:t>
            </w:r>
          </w:p>
        </w:tc>
        <w:tc>
          <w:tcPr>
            <w:tcW w:type="dxa" w:w="6984"/>
            <w:vAlign w:val="center"/>
          </w:tcPr>
          <w:p>
            <w:pPr>
              <w:spacing w:after="0"/>
            </w:pPr>
            <w:r/>
            <w:r>
              <w:rPr>
                <w:rFonts w:ascii="Aptos" w:hAnsi="Aptos"/>
                <w:b w:val="0"/>
                <w:sz w:val="16"/>
              </w:rPr>
              <w:t>Applies match threshold and winner-margin rules; computes confidence score.</w:t>
            </w:r>
          </w:p>
        </w:tc>
      </w:tr>
      <w:tr>
        <w:trPr>
          <w:cantSplit/>
        </w:trPr>
        <w:tc>
          <w:tcPr>
            <w:tcW w:type="dxa" w:w="3816"/>
            <w:vAlign w:val="center"/>
          </w:tcPr>
          <w:p>
            <w:pPr>
              <w:spacing w:after="0"/>
            </w:pPr>
            <w:r/>
            <w:r>
              <w:rPr>
                <w:rFonts w:ascii="Aptos" w:hAnsi="Aptos"/>
                <w:b w:val="0"/>
                <w:sz w:val="16"/>
              </w:rPr>
              <w:t>LandGeolocationPipeline.process</w:t>
            </w:r>
          </w:p>
        </w:tc>
        <w:tc>
          <w:tcPr>
            <w:tcW w:type="dxa" w:w="6984"/>
            <w:vAlign w:val="center"/>
          </w:tcPr>
          <w:p>
            <w:pPr>
              <w:spacing w:after="0"/>
            </w:pPr>
            <w:r/>
            <w:r>
              <w:rPr>
                <w:rFonts w:ascii="Aptos" w:hAnsi="Aptos"/>
                <w:b w:val="0"/>
                <w:sz w:val="16"/>
              </w:rPr>
              <w:t>Complete zero-human record processing entry point.</w:t>
            </w:r>
          </w:p>
        </w:tc>
      </w:tr>
      <w:tr>
        <w:trPr>
          <w:cantSplit/>
        </w:trPr>
        <w:tc>
          <w:tcPr>
            <w:tcW w:type="dxa" w:w="3816"/>
            <w:vAlign w:val="center"/>
          </w:tcPr>
          <w:p>
            <w:pPr>
              <w:spacing w:after="0"/>
            </w:pPr>
            <w:r/>
            <w:r>
              <w:rPr>
                <w:rFonts w:ascii="Aptos" w:hAnsi="Aptos"/>
                <w:b w:val="0"/>
                <w:sz w:val="16"/>
              </w:rPr>
              <w:t>process_dataframe</w:t>
            </w:r>
          </w:p>
        </w:tc>
        <w:tc>
          <w:tcPr>
            <w:tcW w:type="dxa" w:w="6984"/>
            <w:vAlign w:val="center"/>
          </w:tcPr>
          <w:p>
            <w:pPr>
              <w:spacing w:after="0"/>
            </w:pPr>
            <w:r/>
            <w:r>
              <w:rPr>
                <w:rFonts w:ascii="Aptos" w:hAnsi="Aptos"/>
                <w:b w:val="0"/>
                <w:sz w:val="16"/>
              </w:rPr>
              <w:t>Batch wrapper; optionally writes one JSON result per record.</w:t>
            </w:r>
          </w:p>
        </w:tc>
      </w:tr>
      <w:tr>
        <w:trPr>
          <w:cantSplit/>
        </w:trPr>
        <w:tc>
          <w:tcPr>
            <w:tcW w:type="dxa" w:w="3816"/>
            <w:vAlign w:val="center"/>
          </w:tcPr>
          <w:p>
            <w:pPr>
              <w:spacing w:after="0"/>
            </w:pPr>
            <w:r/>
            <w:r>
              <w:rPr>
                <w:rFonts w:ascii="Aptos" w:hAnsi="Aptos"/>
                <w:b w:val="0"/>
                <w:sz w:val="16"/>
              </w:rPr>
              <w:t>run_core_unit_tests</w:t>
            </w:r>
          </w:p>
        </w:tc>
        <w:tc>
          <w:tcPr>
            <w:tcW w:type="dxa" w:w="6984"/>
            <w:vAlign w:val="center"/>
          </w:tcPr>
          <w:p>
            <w:pPr>
              <w:spacing w:after="0"/>
            </w:pPr>
            <w:r/>
            <w:r>
              <w:rPr>
                <w:rFonts w:ascii="Aptos" w:hAnsi="Aptos"/>
                <w:b w:val="0"/>
                <w:sz w:val="16"/>
              </w:rPr>
              <w:t>Synthetic tests for ambiguity coherence, between, direction, adjacency and conservative decision logic.</w:t>
            </w:r>
          </w:p>
        </w:tc>
      </w:tr>
    </w:tbl>
    <w:p>
      <w:pPr>
        <w:spacing w:after="20"/>
      </w:pPr>
    </w:p>
    <w:p>
      <w:pPr>
        <w:pStyle w:val="Heading1"/>
      </w:pPr>
      <w:r>
        <w:t>11. Parameter reference and tuning</w:t>
      </w:r>
    </w:p>
    <w:p>
      <w:pPr>
        <w:spacing w:after="100" w:line="259" w:lineRule="auto"/>
      </w:pPr>
      <w:r>
        <w:t>Change parameters only from labelled evidence. Before changing one, record the current false-match rate and unresolved rate, change one family of parameters at a time, and rerun the same validation set.</w:t>
      </w:r>
    </w:p>
    <w:p>
      <w:pPr>
        <w:pStyle w:val="Heading2"/>
      </w:pPr>
      <w:r>
        <w:t>11.1 LLMConfig</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20"/>
            <w:vAlign w:val="center"/>
            <w:shd w:fill="D9EAF7"/>
          </w:tcPr>
          <w:p>
            <w:pPr>
              <w:spacing w:after="0"/>
            </w:pPr>
            <w:r/>
            <w:r>
              <w:rPr>
                <w:rFonts w:ascii="Aptos" w:hAnsi="Aptos"/>
                <w:b/>
                <w:sz w:val="15"/>
              </w:rPr>
              <w:t>Parameter</w:t>
            </w:r>
          </w:p>
        </w:tc>
        <w:tc>
          <w:tcPr>
            <w:tcW w:type="dxa" w:w="1224"/>
            <w:vAlign w:val="center"/>
            <w:shd w:fill="D9EAF7"/>
          </w:tcPr>
          <w:p>
            <w:pPr>
              <w:spacing w:after="0"/>
            </w:pPr>
            <w:r/>
            <w:r>
              <w:rPr>
                <w:rFonts w:ascii="Aptos" w:hAnsi="Aptos"/>
                <w:b/>
                <w:sz w:val="15"/>
              </w:rPr>
              <w:t>Default</w:t>
            </w:r>
          </w:p>
        </w:tc>
        <w:tc>
          <w:tcPr>
            <w:tcW w:type="dxa" w:w="3888"/>
            <w:vAlign w:val="center"/>
            <w:shd w:fill="D9EAF7"/>
          </w:tcPr>
          <w:p>
            <w:pPr>
              <w:spacing w:after="0"/>
            </w:pPr>
            <w:r/>
            <w:r>
              <w:rPr>
                <w:rFonts w:ascii="Aptos" w:hAnsi="Aptos"/>
                <w:b/>
                <w:sz w:val="15"/>
              </w:rPr>
              <w:t>Meaning</w:t>
            </w:r>
          </w:p>
        </w:tc>
        <w:tc>
          <w:tcPr>
            <w:tcW w:type="dxa" w:w="3384"/>
            <w:vAlign w:val="center"/>
            <w:shd w:fill="D9EAF7"/>
          </w:tcPr>
          <w:p>
            <w:pPr>
              <w:spacing w:after="0"/>
            </w:pPr>
            <w:r/>
            <w:r>
              <w:rPr>
                <w:rFonts w:ascii="Aptos" w:hAnsi="Aptos"/>
                <w:b/>
                <w:sz w:val="15"/>
              </w:rPr>
              <w:t>Change carefully when...</w:t>
            </w:r>
          </w:p>
        </w:tc>
      </w:tr>
      <w:tr>
        <w:trPr>
          <w:cantSplit/>
        </w:trPr>
        <w:tc>
          <w:tcPr>
            <w:tcW w:type="dxa" w:w="2520"/>
            <w:vAlign w:val="center"/>
          </w:tcPr>
          <w:p>
            <w:pPr>
              <w:spacing w:after="0"/>
            </w:pPr>
            <w:r/>
            <w:r>
              <w:rPr>
                <w:rFonts w:ascii="Aptos" w:hAnsi="Aptos"/>
                <w:b w:val="0"/>
                <w:sz w:val="15"/>
              </w:rPr>
              <w:t>endpoint</w:t>
            </w:r>
          </w:p>
        </w:tc>
        <w:tc>
          <w:tcPr>
            <w:tcW w:type="dxa" w:w="1224"/>
            <w:vAlign w:val="center"/>
          </w:tcPr>
          <w:p>
            <w:pPr>
              <w:spacing w:after="0"/>
            </w:pPr>
            <w:r/>
            <w:r>
              <w:rPr>
                <w:rFonts w:ascii="Aptos" w:hAnsi="Aptos"/>
                <w:b w:val="0"/>
                <w:sz w:val="15"/>
              </w:rPr>
              <w:t>environment</w:t>
            </w:r>
          </w:p>
        </w:tc>
        <w:tc>
          <w:tcPr>
            <w:tcW w:type="dxa" w:w="3888"/>
            <w:vAlign w:val="center"/>
          </w:tcPr>
          <w:p>
            <w:pPr>
              <w:spacing w:after="0"/>
            </w:pPr>
            <w:r/>
            <w:r>
              <w:rPr>
                <w:rFonts w:ascii="Aptos" w:hAnsi="Aptos"/>
                <w:b w:val="0"/>
                <w:sz w:val="15"/>
              </w:rPr>
              <w:t>Azure OpenAI endpoint.</w:t>
            </w:r>
          </w:p>
        </w:tc>
        <w:tc>
          <w:tcPr>
            <w:tcW w:type="dxa" w:w="3384"/>
            <w:vAlign w:val="center"/>
          </w:tcPr>
          <w:p>
            <w:pPr>
              <w:spacing w:after="0"/>
            </w:pPr>
            <w:r/>
            <w:r>
              <w:rPr>
                <w:rFonts w:ascii="Aptos" w:hAnsi="Aptos"/>
                <w:b w:val="0"/>
                <w:sz w:val="15"/>
              </w:rPr>
              <w:t>Infrastructure setting; do not tune for accuracy.</w:t>
            </w:r>
          </w:p>
        </w:tc>
      </w:tr>
      <w:tr>
        <w:trPr>
          <w:cantSplit/>
        </w:trPr>
        <w:tc>
          <w:tcPr>
            <w:tcW w:type="dxa" w:w="2520"/>
            <w:vAlign w:val="center"/>
          </w:tcPr>
          <w:p>
            <w:pPr>
              <w:spacing w:after="0"/>
            </w:pPr>
            <w:r/>
            <w:r>
              <w:rPr>
                <w:rFonts w:ascii="Aptos" w:hAnsi="Aptos"/>
                <w:b w:val="0"/>
                <w:sz w:val="15"/>
              </w:rPr>
              <w:t>api_key</w:t>
            </w:r>
          </w:p>
        </w:tc>
        <w:tc>
          <w:tcPr>
            <w:tcW w:type="dxa" w:w="1224"/>
            <w:vAlign w:val="center"/>
          </w:tcPr>
          <w:p>
            <w:pPr>
              <w:spacing w:after="0"/>
            </w:pPr>
            <w:r/>
            <w:r>
              <w:rPr>
                <w:rFonts w:ascii="Aptos" w:hAnsi="Aptos"/>
                <w:b w:val="0"/>
                <w:sz w:val="15"/>
              </w:rPr>
              <w:t>environment</w:t>
            </w:r>
          </w:p>
        </w:tc>
        <w:tc>
          <w:tcPr>
            <w:tcW w:type="dxa" w:w="3888"/>
            <w:vAlign w:val="center"/>
          </w:tcPr>
          <w:p>
            <w:pPr>
              <w:spacing w:after="0"/>
            </w:pPr>
            <w:r/>
            <w:r>
              <w:rPr>
                <w:rFonts w:ascii="Aptos" w:hAnsi="Aptos"/>
                <w:b w:val="0"/>
                <w:sz w:val="15"/>
              </w:rPr>
              <w:t>Azure credential.</w:t>
            </w:r>
          </w:p>
        </w:tc>
        <w:tc>
          <w:tcPr>
            <w:tcW w:type="dxa" w:w="3384"/>
            <w:vAlign w:val="center"/>
          </w:tcPr>
          <w:p>
            <w:pPr>
              <w:spacing w:after="0"/>
            </w:pPr>
            <w:r/>
            <w:r>
              <w:rPr>
                <w:rFonts w:ascii="Aptos" w:hAnsi="Aptos"/>
                <w:b w:val="0"/>
                <w:sz w:val="15"/>
              </w:rPr>
              <w:t>Use Secrets Manager/environment injection, not notebook source.</w:t>
            </w:r>
          </w:p>
        </w:tc>
      </w:tr>
      <w:tr>
        <w:trPr>
          <w:cantSplit/>
        </w:trPr>
        <w:tc>
          <w:tcPr>
            <w:tcW w:type="dxa" w:w="2520"/>
            <w:vAlign w:val="center"/>
          </w:tcPr>
          <w:p>
            <w:pPr>
              <w:spacing w:after="0"/>
            </w:pPr>
            <w:r/>
            <w:r>
              <w:rPr>
                <w:rFonts w:ascii="Aptos" w:hAnsi="Aptos"/>
                <w:b w:val="0"/>
                <w:sz w:val="15"/>
              </w:rPr>
              <w:t>deployment</w:t>
            </w:r>
          </w:p>
        </w:tc>
        <w:tc>
          <w:tcPr>
            <w:tcW w:type="dxa" w:w="1224"/>
            <w:vAlign w:val="center"/>
          </w:tcPr>
          <w:p>
            <w:pPr>
              <w:spacing w:after="0"/>
            </w:pPr>
            <w:r/>
            <w:r>
              <w:rPr>
                <w:rFonts w:ascii="Aptos" w:hAnsi="Aptos"/>
                <w:b w:val="0"/>
                <w:sz w:val="15"/>
              </w:rPr>
              <w:t>environment</w:t>
            </w:r>
          </w:p>
        </w:tc>
        <w:tc>
          <w:tcPr>
            <w:tcW w:type="dxa" w:w="3888"/>
            <w:vAlign w:val="center"/>
          </w:tcPr>
          <w:p>
            <w:pPr>
              <w:spacing w:after="0"/>
            </w:pPr>
            <w:r/>
            <w:r>
              <w:rPr>
                <w:rFonts w:ascii="Aptos" w:hAnsi="Aptos"/>
                <w:b w:val="0"/>
                <w:sz w:val="15"/>
              </w:rPr>
              <w:t>Azure model deployment name.</w:t>
            </w:r>
          </w:p>
        </w:tc>
        <w:tc>
          <w:tcPr>
            <w:tcW w:type="dxa" w:w="3384"/>
            <w:vAlign w:val="center"/>
          </w:tcPr>
          <w:p>
            <w:pPr>
              <w:spacing w:after="0"/>
            </w:pPr>
            <w:r/>
            <w:r>
              <w:rPr>
                <w:rFonts w:ascii="Aptos" w:hAnsi="Aptos"/>
                <w:b w:val="0"/>
                <w:sz w:val="15"/>
              </w:rPr>
              <w:t>Use a GA deployment that supports Responses API structured outputs.</w:t>
            </w:r>
          </w:p>
        </w:tc>
      </w:tr>
      <w:tr>
        <w:trPr>
          <w:cantSplit/>
        </w:trPr>
        <w:tc>
          <w:tcPr>
            <w:tcW w:type="dxa" w:w="2520"/>
            <w:vAlign w:val="center"/>
          </w:tcPr>
          <w:p>
            <w:pPr>
              <w:spacing w:after="0"/>
            </w:pPr>
            <w:r/>
            <w:r>
              <w:rPr>
                <w:rFonts w:ascii="Aptos" w:hAnsi="Aptos"/>
                <w:b w:val="0"/>
                <w:sz w:val="15"/>
              </w:rPr>
              <w:t>verify_parse</w:t>
            </w:r>
          </w:p>
        </w:tc>
        <w:tc>
          <w:tcPr>
            <w:tcW w:type="dxa" w:w="1224"/>
            <w:vAlign w:val="center"/>
          </w:tcPr>
          <w:p>
            <w:pPr>
              <w:spacing w:after="0"/>
            </w:pPr>
            <w:r/>
            <w:r>
              <w:rPr>
                <w:rFonts w:ascii="Aptos" w:hAnsi="Aptos"/>
                <w:b w:val="0"/>
                <w:sz w:val="15"/>
              </w:rPr>
              <w:t>True</w:t>
            </w:r>
          </w:p>
        </w:tc>
        <w:tc>
          <w:tcPr>
            <w:tcW w:type="dxa" w:w="3888"/>
            <w:vAlign w:val="center"/>
          </w:tcPr>
          <w:p>
            <w:pPr>
              <w:spacing w:after="0"/>
            </w:pPr>
            <w:r/>
            <w:r>
              <w:rPr>
                <w:rFonts w:ascii="Aptos" w:hAnsi="Aptos"/>
                <w:b w:val="0"/>
                <w:sz w:val="15"/>
              </w:rPr>
              <w:t>Runs a second structured LLM verification pass.</w:t>
            </w:r>
          </w:p>
        </w:tc>
        <w:tc>
          <w:tcPr>
            <w:tcW w:type="dxa" w:w="3384"/>
            <w:vAlign w:val="center"/>
          </w:tcPr>
          <w:p>
            <w:pPr>
              <w:spacing w:after="0"/>
            </w:pPr>
            <w:r/>
            <w:r>
              <w:rPr>
                <w:rFonts w:ascii="Aptos" w:hAnsi="Aptos"/>
                <w:b w:val="0"/>
                <w:sz w:val="15"/>
              </w:rPr>
              <w:t>Disable only after measuring parser error/cost trade-off.</w:t>
            </w:r>
          </w:p>
        </w:tc>
      </w:tr>
      <w:tr>
        <w:trPr>
          <w:cantSplit/>
        </w:trPr>
        <w:tc>
          <w:tcPr>
            <w:tcW w:type="dxa" w:w="2520"/>
            <w:vAlign w:val="center"/>
          </w:tcPr>
          <w:p>
            <w:pPr>
              <w:spacing w:after="0"/>
            </w:pPr>
            <w:r/>
            <w:r>
              <w:rPr>
                <w:rFonts w:ascii="Aptos" w:hAnsi="Aptos"/>
                <w:b w:val="0"/>
                <w:sz w:val="15"/>
              </w:rPr>
              <w:t>generate_fallback_search_variants</w:t>
            </w:r>
          </w:p>
        </w:tc>
        <w:tc>
          <w:tcPr>
            <w:tcW w:type="dxa" w:w="1224"/>
            <w:vAlign w:val="center"/>
          </w:tcPr>
          <w:p>
            <w:pPr>
              <w:spacing w:after="0"/>
            </w:pPr>
            <w:r/>
            <w:r>
              <w:rPr>
                <w:rFonts w:ascii="Aptos" w:hAnsi="Aptos"/>
                <w:b w:val="0"/>
                <w:sz w:val="15"/>
              </w:rPr>
              <w:t>True</w:t>
            </w:r>
          </w:p>
        </w:tc>
        <w:tc>
          <w:tcPr>
            <w:tcW w:type="dxa" w:w="3888"/>
            <w:vAlign w:val="center"/>
          </w:tcPr>
          <w:p>
            <w:pPr>
              <w:spacing w:after="0"/>
            </w:pPr>
            <w:r/>
            <w:r>
              <w:rPr>
                <w:rFonts w:ascii="Aptos" w:hAnsi="Aptos"/>
                <w:b w:val="0"/>
                <w:sz w:val="15"/>
              </w:rPr>
              <w:t>Allows safe linguistic variants for weak/unresolved anchors.</w:t>
            </w:r>
          </w:p>
        </w:tc>
        <w:tc>
          <w:tcPr>
            <w:tcW w:type="dxa" w:w="3384"/>
            <w:vAlign w:val="center"/>
          </w:tcPr>
          <w:p>
            <w:pPr>
              <w:spacing w:after="0"/>
            </w:pPr>
            <w:r/>
            <w:r>
              <w:rPr>
                <w:rFonts w:ascii="Aptos" w:hAnsi="Aptos"/>
                <w:b w:val="0"/>
                <w:sz w:val="15"/>
              </w:rPr>
              <w:t>Keep on for messy legal/OCR text; monitor cost.</w:t>
            </w:r>
          </w:p>
        </w:tc>
      </w:tr>
      <w:tr>
        <w:trPr>
          <w:cantSplit/>
        </w:trPr>
        <w:tc>
          <w:tcPr>
            <w:tcW w:type="dxa" w:w="2520"/>
            <w:vAlign w:val="center"/>
          </w:tcPr>
          <w:p>
            <w:pPr>
              <w:spacing w:after="0"/>
            </w:pPr>
            <w:r/>
            <w:r>
              <w:rPr>
                <w:rFonts w:ascii="Aptos" w:hAnsi="Aptos"/>
                <w:b w:val="0"/>
                <w:sz w:val="15"/>
              </w:rPr>
              <w:t>semantic_rerank</w:t>
            </w:r>
          </w:p>
        </w:tc>
        <w:tc>
          <w:tcPr>
            <w:tcW w:type="dxa" w:w="1224"/>
            <w:vAlign w:val="center"/>
          </w:tcPr>
          <w:p>
            <w:pPr>
              <w:spacing w:after="0"/>
            </w:pPr>
            <w:r/>
            <w:r>
              <w:rPr>
                <w:rFonts w:ascii="Aptos" w:hAnsi="Aptos"/>
                <w:b w:val="0"/>
                <w:sz w:val="15"/>
              </w:rPr>
              <w:t>True</w:t>
            </w:r>
          </w:p>
        </w:tc>
        <w:tc>
          <w:tcPr>
            <w:tcW w:type="dxa" w:w="3888"/>
            <w:vAlign w:val="center"/>
          </w:tcPr>
          <w:p>
            <w:pPr>
              <w:spacing w:after="0"/>
            </w:pPr>
            <w:r/>
            <w:r>
              <w:rPr>
                <w:rFonts w:ascii="Aptos" w:hAnsi="Aptos"/>
                <w:b w:val="0"/>
                <w:sz w:val="15"/>
              </w:rPr>
              <w:t>LLM reviews top GIS evidence.</w:t>
            </w:r>
          </w:p>
        </w:tc>
        <w:tc>
          <w:tcPr>
            <w:tcW w:type="dxa" w:w="3384"/>
            <w:vAlign w:val="center"/>
          </w:tcPr>
          <w:p>
            <w:pPr>
              <w:spacing w:after="0"/>
            </w:pPr>
            <w:r/>
            <w:r>
              <w:rPr>
                <w:rFonts w:ascii="Aptos" w:hAnsi="Aptos"/>
                <w:b w:val="0"/>
                <w:sz w:val="15"/>
              </w:rPr>
              <w:t>Can be disabled for a pure deterministic baseline.</w:t>
            </w:r>
          </w:p>
        </w:tc>
      </w:tr>
      <w:tr>
        <w:trPr>
          <w:cantSplit/>
        </w:trPr>
        <w:tc>
          <w:tcPr>
            <w:tcW w:type="dxa" w:w="2520"/>
            <w:vAlign w:val="center"/>
          </w:tcPr>
          <w:p>
            <w:pPr>
              <w:spacing w:after="0"/>
            </w:pPr>
            <w:r/>
            <w:r>
              <w:rPr>
                <w:rFonts w:ascii="Aptos" w:hAnsi="Aptos"/>
                <w:b w:val="0"/>
                <w:sz w:val="15"/>
              </w:rPr>
              <w:t>max_search_variants</w:t>
            </w:r>
          </w:p>
        </w:tc>
        <w:tc>
          <w:tcPr>
            <w:tcW w:type="dxa" w:w="1224"/>
            <w:vAlign w:val="center"/>
          </w:tcPr>
          <w:p>
            <w:pPr>
              <w:spacing w:after="0"/>
            </w:pPr>
            <w:r/>
            <w:r>
              <w:rPr>
                <w:rFonts w:ascii="Aptos" w:hAnsi="Aptos"/>
                <w:b w:val="0"/>
                <w:sz w:val="15"/>
              </w:rPr>
              <w:t>6</w:t>
            </w:r>
          </w:p>
        </w:tc>
        <w:tc>
          <w:tcPr>
            <w:tcW w:type="dxa" w:w="3888"/>
            <w:vAlign w:val="center"/>
          </w:tcPr>
          <w:p>
            <w:pPr>
              <w:spacing w:after="0"/>
            </w:pPr>
            <w:r/>
            <w:r>
              <w:rPr>
                <w:rFonts w:ascii="Aptos" w:hAnsi="Aptos"/>
                <w:b w:val="0"/>
                <w:sz w:val="15"/>
              </w:rPr>
              <w:t>Maximum alternate searches per weak anchor.</w:t>
            </w:r>
          </w:p>
        </w:tc>
        <w:tc>
          <w:tcPr>
            <w:tcW w:type="dxa" w:w="3384"/>
            <w:vAlign w:val="center"/>
          </w:tcPr>
          <w:p>
            <w:pPr>
              <w:spacing w:after="0"/>
            </w:pPr>
            <w:r/>
            <w:r>
              <w:rPr>
                <w:rFonts w:ascii="Aptos" w:hAnsi="Aptos"/>
                <w:b w:val="0"/>
                <w:sz w:val="15"/>
              </w:rPr>
              <w:t>Raise cautiously; more variants increase retrieval/cost and can add noise.</w:t>
            </w:r>
          </w:p>
        </w:tc>
      </w:tr>
      <w:tr>
        <w:trPr>
          <w:cantSplit/>
        </w:trPr>
        <w:tc>
          <w:tcPr>
            <w:tcW w:type="dxa" w:w="2520"/>
            <w:vAlign w:val="center"/>
          </w:tcPr>
          <w:p>
            <w:pPr>
              <w:spacing w:after="0"/>
            </w:pPr>
            <w:r/>
            <w:r>
              <w:rPr>
                <w:rFonts w:ascii="Aptos" w:hAnsi="Aptos"/>
                <w:b w:val="0"/>
                <w:sz w:val="15"/>
              </w:rPr>
              <w:t>max_semantic_candidates</w:t>
            </w:r>
          </w:p>
        </w:tc>
        <w:tc>
          <w:tcPr>
            <w:tcW w:type="dxa" w:w="1224"/>
            <w:vAlign w:val="center"/>
          </w:tcPr>
          <w:p>
            <w:pPr>
              <w:spacing w:after="0"/>
            </w:pPr>
            <w:r/>
            <w:r>
              <w:rPr>
                <w:rFonts w:ascii="Aptos" w:hAnsi="Aptos"/>
                <w:b w:val="0"/>
                <w:sz w:val="15"/>
              </w:rPr>
              <w:t>10</w:t>
            </w:r>
          </w:p>
        </w:tc>
        <w:tc>
          <w:tcPr>
            <w:tcW w:type="dxa" w:w="3888"/>
            <w:vAlign w:val="center"/>
          </w:tcPr>
          <w:p>
            <w:pPr>
              <w:spacing w:after="0"/>
            </w:pPr>
            <w:r/>
            <w:r>
              <w:rPr>
                <w:rFonts w:ascii="Aptos" w:hAnsi="Aptos"/>
                <w:b w:val="0"/>
                <w:sz w:val="15"/>
              </w:rPr>
              <w:t>Number of candidate polygons shown to semantic reranker.</w:t>
            </w:r>
          </w:p>
        </w:tc>
        <w:tc>
          <w:tcPr>
            <w:tcW w:type="dxa" w:w="3384"/>
            <w:vAlign w:val="center"/>
          </w:tcPr>
          <w:p>
            <w:pPr>
              <w:spacing w:after="0"/>
            </w:pPr>
            <w:r/>
            <w:r>
              <w:rPr>
                <w:rFonts w:ascii="Aptos" w:hAnsi="Aptos"/>
                <w:b w:val="0"/>
                <w:sz w:val="15"/>
              </w:rPr>
              <w:t>Usually 5-15. Too high increases token use and distracts ranking.</w:t>
            </w:r>
          </w:p>
        </w:tc>
      </w:tr>
    </w:tbl>
    <w:p>
      <w:pPr>
        <w:spacing w:after="20"/>
      </w:pPr>
    </w:p>
    <w:p>
      <w:pPr>
        <w:pStyle w:val="Heading2"/>
      </w:pPr>
      <w:r>
        <w:t>11.2 RetrievalConfig</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20"/>
            <w:vAlign w:val="center"/>
            <w:shd w:fill="D9EAF7"/>
          </w:tcPr>
          <w:p>
            <w:pPr>
              <w:spacing w:after="0"/>
            </w:pPr>
            <w:r/>
            <w:r>
              <w:rPr>
                <w:rFonts w:ascii="Aptos" w:hAnsi="Aptos"/>
                <w:b/>
                <w:sz w:val="15"/>
              </w:rPr>
              <w:t>Parameter</w:t>
            </w:r>
          </w:p>
        </w:tc>
        <w:tc>
          <w:tcPr>
            <w:tcW w:type="dxa" w:w="1296"/>
            <w:vAlign w:val="center"/>
            <w:shd w:fill="D9EAF7"/>
          </w:tcPr>
          <w:p>
            <w:pPr>
              <w:spacing w:after="0"/>
            </w:pPr>
            <w:r/>
            <w:r>
              <w:rPr>
                <w:rFonts w:ascii="Aptos" w:hAnsi="Aptos"/>
                <w:b/>
                <w:sz w:val="15"/>
              </w:rPr>
              <w:t>Default</w:t>
            </w:r>
          </w:p>
        </w:tc>
        <w:tc>
          <w:tcPr>
            <w:tcW w:type="dxa" w:w="3888"/>
            <w:vAlign w:val="center"/>
            <w:shd w:fill="D9EAF7"/>
          </w:tcPr>
          <w:p>
            <w:pPr>
              <w:spacing w:after="0"/>
            </w:pPr>
            <w:r/>
            <w:r>
              <w:rPr>
                <w:rFonts w:ascii="Aptos" w:hAnsi="Aptos"/>
                <w:b/>
                <w:sz w:val="15"/>
              </w:rPr>
              <w:t>Meaning</w:t>
            </w:r>
          </w:p>
        </w:tc>
        <w:tc>
          <w:tcPr>
            <w:tcW w:type="dxa" w:w="3312"/>
            <w:vAlign w:val="center"/>
            <w:shd w:fill="D9EAF7"/>
          </w:tcPr>
          <w:p>
            <w:pPr>
              <w:spacing w:after="0"/>
            </w:pPr>
            <w:r/>
            <w:r>
              <w:rPr>
                <w:rFonts w:ascii="Aptos" w:hAnsi="Aptos"/>
                <w:b/>
                <w:sz w:val="15"/>
              </w:rPr>
              <w:t>Tuning guidance</w:t>
            </w:r>
          </w:p>
        </w:tc>
      </w:tr>
      <w:tr>
        <w:trPr>
          <w:cantSplit/>
        </w:trPr>
        <w:tc>
          <w:tcPr>
            <w:tcW w:type="dxa" w:w="2520"/>
            <w:vAlign w:val="center"/>
          </w:tcPr>
          <w:p>
            <w:pPr>
              <w:spacing w:after="0"/>
            </w:pPr>
            <w:r/>
            <w:r>
              <w:rPr>
                <w:rFonts w:ascii="Aptos" w:hAnsi="Aptos"/>
                <w:b w:val="0"/>
                <w:sz w:val="15"/>
              </w:rPr>
              <w:t>token_bucket_chars</w:t>
            </w:r>
          </w:p>
        </w:tc>
        <w:tc>
          <w:tcPr>
            <w:tcW w:type="dxa" w:w="1296"/>
            <w:vAlign w:val="center"/>
          </w:tcPr>
          <w:p>
            <w:pPr>
              <w:spacing w:after="0"/>
            </w:pPr>
            <w:r/>
            <w:r>
              <w:rPr>
                <w:rFonts w:ascii="Aptos" w:hAnsi="Aptos"/>
                <w:b w:val="0"/>
                <w:sz w:val="15"/>
              </w:rPr>
              <w:t>3</w:t>
            </w:r>
          </w:p>
        </w:tc>
        <w:tc>
          <w:tcPr>
            <w:tcW w:type="dxa" w:w="3888"/>
            <w:vAlign w:val="center"/>
          </w:tcPr>
          <w:p>
            <w:pPr>
              <w:spacing w:after="0"/>
            </w:pPr>
            <w:r/>
            <w:r>
              <w:rPr>
                <w:rFonts w:ascii="Aptos" w:hAnsi="Aptos"/>
                <w:b w:val="0"/>
                <w:sz w:val="15"/>
              </w:rPr>
              <w:t>Hash-prefix length for token index (4096 buckets).</w:t>
            </w:r>
          </w:p>
        </w:tc>
        <w:tc>
          <w:tcPr>
            <w:tcW w:type="dxa" w:w="3312"/>
            <w:vAlign w:val="center"/>
          </w:tcPr>
          <w:p>
            <w:pPr>
              <w:spacing w:after="0"/>
            </w:pPr>
            <w:r/>
            <w:r>
              <w:rPr>
                <w:rFonts w:ascii="Aptos" w:hAnsi="Aptos"/>
                <w:b w:val="0"/>
                <w:sz w:val="15"/>
              </w:rPr>
              <w:t>Increase for smaller reads/more partitions; decrease for fewer larger partitions.</w:t>
            </w:r>
          </w:p>
        </w:tc>
      </w:tr>
      <w:tr>
        <w:trPr>
          <w:cantSplit/>
        </w:trPr>
        <w:tc>
          <w:tcPr>
            <w:tcW w:type="dxa" w:w="2520"/>
            <w:vAlign w:val="center"/>
          </w:tcPr>
          <w:p>
            <w:pPr>
              <w:spacing w:after="0"/>
            </w:pPr>
            <w:r/>
            <w:r>
              <w:rPr>
                <w:rFonts w:ascii="Aptos" w:hAnsi="Aptos"/>
                <w:b w:val="0"/>
                <w:sz w:val="15"/>
              </w:rPr>
              <w:t>record_bucket_chars</w:t>
            </w:r>
          </w:p>
        </w:tc>
        <w:tc>
          <w:tcPr>
            <w:tcW w:type="dxa" w:w="1296"/>
            <w:vAlign w:val="center"/>
          </w:tcPr>
          <w:p>
            <w:pPr>
              <w:spacing w:after="0"/>
            </w:pPr>
            <w:r/>
            <w:r>
              <w:rPr>
                <w:rFonts w:ascii="Aptos" w:hAnsi="Aptos"/>
                <w:b w:val="0"/>
                <w:sz w:val="15"/>
              </w:rPr>
              <w:t>2</w:t>
            </w:r>
          </w:p>
        </w:tc>
        <w:tc>
          <w:tcPr>
            <w:tcW w:type="dxa" w:w="3888"/>
            <w:vAlign w:val="center"/>
          </w:tcPr>
          <w:p>
            <w:pPr>
              <w:spacing w:after="0"/>
            </w:pPr>
            <w:r/>
            <w:r>
              <w:rPr>
                <w:rFonts w:ascii="Aptos" w:hAnsi="Aptos"/>
                <w:b w:val="0"/>
                <w:sz w:val="15"/>
              </w:rPr>
              <w:t>Hash-prefix length for record storage (256 buckets).</w:t>
            </w:r>
          </w:p>
        </w:tc>
        <w:tc>
          <w:tcPr>
            <w:tcW w:type="dxa" w:w="3312"/>
            <w:vAlign w:val="center"/>
          </w:tcPr>
          <w:p>
            <w:pPr>
              <w:spacing w:after="0"/>
            </w:pPr>
            <w:r/>
            <w:r>
              <w:rPr>
                <w:rFonts w:ascii="Aptos" w:hAnsi="Aptos"/>
                <w:b w:val="0"/>
                <w:sz w:val="15"/>
              </w:rPr>
              <w:t>Change only during index rebuild; runtime/preprocessing must match.</w:t>
            </w:r>
          </w:p>
        </w:tc>
      </w:tr>
      <w:tr>
        <w:trPr>
          <w:cantSplit/>
        </w:trPr>
        <w:tc>
          <w:tcPr>
            <w:tcW w:type="dxa" w:w="2520"/>
            <w:vAlign w:val="center"/>
          </w:tcPr>
          <w:p>
            <w:pPr>
              <w:spacing w:after="0"/>
            </w:pPr>
            <w:r/>
            <w:r>
              <w:rPr>
                <w:rFonts w:ascii="Aptos" w:hAnsi="Aptos"/>
                <w:b w:val="0"/>
                <w:sz w:val="15"/>
              </w:rPr>
              <w:t>token_rows_cap</w:t>
            </w:r>
          </w:p>
        </w:tc>
        <w:tc>
          <w:tcPr>
            <w:tcW w:type="dxa" w:w="1296"/>
            <w:vAlign w:val="center"/>
          </w:tcPr>
          <w:p>
            <w:pPr>
              <w:spacing w:after="0"/>
            </w:pPr>
            <w:r/>
            <w:r>
              <w:rPr>
                <w:rFonts w:ascii="Aptos" w:hAnsi="Aptos"/>
                <w:b w:val="0"/>
                <w:sz w:val="15"/>
              </w:rPr>
              <w:t>25,000</w:t>
            </w:r>
          </w:p>
        </w:tc>
        <w:tc>
          <w:tcPr>
            <w:tcW w:type="dxa" w:w="3888"/>
            <w:vAlign w:val="center"/>
          </w:tcPr>
          <w:p>
            <w:pPr>
              <w:spacing w:after="0"/>
            </w:pPr>
            <w:r/>
            <w:r>
              <w:rPr>
                <w:rFonts w:ascii="Aptos" w:hAnsi="Aptos"/>
                <w:b w:val="0"/>
                <w:sz w:val="15"/>
              </w:rPr>
              <w:t>Safety cap for very common token hits.</w:t>
            </w:r>
          </w:p>
        </w:tc>
        <w:tc>
          <w:tcPr>
            <w:tcW w:type="dxa" w:w="3312"/>
            <w:vAlign w:val="center"/>
          </w:tcPr>
          <w:p>
            <w:pPr>
              <w:spacing w:after="0"/>
            </w:pPr>
            <w:r/>
            <w:r>
              <w:rPr>
                <w:rFonts w:ascii="Aptos" w:hAnsi="Aptos"/>
                <w:b w:val="0"/>
                <w:sz w:val="15"/>
              </w:rPr>
              <w:t>Raise if rare true candidates are being truncated; lower for memory/latency.</w:t>
            </w:r>
          </w:p>
        </w:tc>
      </w:tr>
      <w:tr>
        <w:trPr>
          <w:cantSplit/>
        </w:trPr>
        <w:tc>
          <w:tcPr>
            <w:tcW w:type="dxa" w:w="2520"/>
            <w:vAlign w:val="center"/>
          </w:tcPr>
          <w:p>
            <w:pPr>
              <w:spacing w:after="0"/>
            </w:pPr>
            <w:r/>
            <w:r>
              <w:rPr>
                <w:rFonts w:ascii="Aptos" w:hAnsi="Aptos"/>
                <w:b w:val="0"/>
                <w:sz w:val="15"/>
              </w:rPr>
              <w:t>max_candidate_uprns_before_record_fetch</w:t>
            </w:r>
          </w:p>
        </w:tc>
        <w:tc>
          <w:tcPr>
            <w:tcW w:type="dxa" w:w="1296"/>
            <w:vAlign w:val="center"/>
          </w:tcPr>
          <w:p>
            <w:pPr>
              <w:spacing w:after="0"/>
            </w:pPr>
            <w:r/>
            <w:r>
              <w:rPr>
                <w:rFonts w:ascii="Aptos" w:hAnsi="Aptos"/>
                <w:b w:val="0"/>
                <w:sz w:val="15"/>
              </w:rPr>
              <w:t>800</w:t>
            </w:r>
          </w:p>
        </w:tc>
        <w:tc>
          <w:tcPr>
            <w:tcW w:type="dxa" w:w="3888"/>
            <w:vAlign w:val="center"/>
          </w:tcPr>
          <w:p>
            <w:pPr>
              <w:spacing w:after="0"/>
            </w:pPr>
            <w:r/>
            <w:r>
              <w:rPr>
                <w:rFonts w:ascii="Aptos" w:hAnsi="Aptos"/>
                <w:b w:val="0"/>
                <w:sz w:val="15"/>
              </w:rPr>
              <w:t>UPRN IDs fetched after token-stage ranking.</w:t>
            </w:r>
          </w:p>
        </w:tc>
        <w:tc>
          <w:tcPr>
            <w:tcW w:type="dxa" w:w="3312"/>
            <w:vAlign w:val="center"/>
          </w:tcPr>
          <w:p>
            <w:pPr>
              <w:spacing w:after="0"/>
            </w:pPr>
            <w:r/>
            <w:r>
              <w:rPr>
                <w:rFonts w:ascii="Aptos" w:hAnsi="Aptos"/>
                <w:b w:val="0"/>
                <w:sz w:val="15"/>
              </w:rPr>
              <w:t>Raise for very ambiguous/common names; watch S3 IO.</w:t>
            </w:r>
          </w:p>
        </w:tc>
      </w:tr>
      <w:tr>
        <w:trPr>
          <w:cantSplit/>
        </w:trPr>
        <w:tc>
          <w:tcPr>
            <w:tcW w:type="dxa" w:w="2520"/>
            <w:vAlign w:val="center"/>
          </w:tcPr>
          <w:p>
            <w:pPr>
              <w:spacing w:after="0"/>
            </w:pPr>
            <w:r/>
            <w:r>
              <w:rPr>
                <w:rFonts w:ascii="Aptos" w:hAnsi="Aptos"/>
                <w:b w:val="0"/>
                <w:sz w:val="15"/>
              </w:rPr>
              <w:t>max_address_candidates_per_anchor</w:t>
            </w:r>
          </w:p>
        </w:tc>
        <w:tc>
          <w:tcPr>
            <w:tcW w:type="dxa" w:w="1296"/>
            <w:vAlign w:val="center"/>
          </w:tcPr>
          <w:p>
            <w:pPr>
              <w:spacing w:after="0"/>
            </w:pPr>
            <w:r/>
            <w:r>
              <w:rPr>
                <w:rFonts w:ascii="Aptos" w:hAnsi="Aptos"/>
                <w:b w:val="0"/>
                <w:sz w:val="15"/>
              </w:rPr>
              <w:t>25</w:t>
            </w:r>
          </w:p>
        </w:tc>
        <w:tc>
          <w:tcPr>
            <w:tcW w:type="dxa" w:w="3888"/>
            <w:vAlign w:val="center"/>
          </w:tcPr>
          <w:p>
            <w:pPr>
              <w:spacing w:after="0"/>
            </w:pPr>
            <w:r/>
            <w:r>
              <w:rPr>
                <w:rFonts w:ascii="Aptos" w:hAnsi="Aptos"/>
                <w:b w:val="0"/>
                <w:sz w:val="15"/>
              </w:rPr>
              <w:t>AddressBase candidates retained for one anchor.</w:t>
            </w:r>
          </w:p>
        </w:tc>
        <w:tc>
          <w:tcPr>
            <w:tcW w:type="dxa" w:w="3312"/>
            <w:vAlign w:val="center"/>
          </w:tcPr>
          <w:p>
            <w:pPr>
              <w:spacing w:after="0"/>
            </w:pPr>
            <w:r/>
            <w:r>
              <w:rPr>
                <w:rFonts w:ascii="Aptos" w:hAnsi="Aptos"/>
                <w:b w:val="0"/>
                <w:sz w:val="15"/>
              </w:rPr>
              <w:t>Raise if top-k anchor recall is poor; larger values increase beam complexity.</w:t>
            </w:r>
          </w:p>
        </w:tc>
      </w:tr>
      <w:tr>
        <w:trPr>
          <w:cantSplit/>
        </w:trPr>
        <w:tc>
          <w:tcPr>
            <w:tcW w:type="dxa" w:w="2520"/>
            <w:vAlign w:val="center"/>
          </w:tcPr>
          <w:p>
            <w:pPr>
              <w:spacing w:after="0"/>
            </w:pPr>
            <w:r/>
            <w:r>
              <w:rPr>
                <w:rFonts w:ascii="Aptos" w:hAnsi="Aptos"/>
                <w:b w:val="0"/>
                <w:sz w:val="15"/>
              </w:rPr>
              <w:t>max_name_candidates_per_anchor</w:t>
            </w:r>
          </w:p>
        </w:tc>
        <w:tc>
          <w:tcPr>
            <w:tcW w:type="dxa" w:w="1296"/>
            <w:vAlign w:val="center"/>
          </w:tcPr>
          <w:p>
            <w:pPr>
              <w:spacing w:after="0"/>
            </w:pPr>
            <w:r/>
            <w:r>
              <w:rPr>
                <w:rFonts w:ascii="Aptos" w:hAnsi="Aptos"/>
                <w:b w:val="0"/>
                <w:sz w:val="15"/>
              </w:rPr>
              <w:t>20</w:t>
            </w:r>
          </w:p>
        </w:tc>
        <w:tc>
          <w:tcPr>
            <w:tcW w:type="dxa" w:w="3888"/>
            <w:vAlign w:val="center"/>
          </w:tcPr>
          <w:p>
            <w:pPr>
              <w:spacing w:after="0"/>
            </w:pPr>
            <w:r/>
            <w:r>
              <w:rPr>
                <w:rFonts w:ascii="Aptos" w:hAnsi="Aptos"/>
                <w:b w:val="0"/>
                <w:sz w:val="15"/>
              </w:rPr>
              <w:t>Open Names candidates retained.</w:t>
            </w:r>
          </w:p>
        </w:tc>
        <w:tc>
          <w:tcPr>
            <w:tcW w:type="dxa" w:w="3312"/>
            <w:vAlign w:val="center"/>
          </w:tcPr>
          <w:p>
            <w:pPr>
              <w:spacing w:after="0"/>
            </w:pPr>
            <w:r/>
            <w:r>
              <w:rPr>
                <w:rFonts w:ascii="Aptos" w:hAnsi="Aptos"/>
                <w:b w:val="0"/>
                <w:sz w:val="15"/>
              </w:rPr>
              <w:t>Same trade-off as address candidates.</w:t>
            </w:r>
          </w:p>
        </w:tc>
      </w:tr>
      <w:tr>
        <w:trPr>
          <w:cantSplit/>
        </w:trPr>
        <w:tc>
          <w:tcPr>
            <w:tcW w:type="dxa" w:w="2520"/>
            <w:vAlign w:val="center"/>
          </w:tcPr>
          <w:p>
            <w:pPr>
              <w:spacing w:after="0"/>
            </w:pPr>
            <w:r/>
            <w:r>
              <w:rPr>
                <w:rFonts w:ascii="Aptos" w:hAnsi="Aptos"/>
                <w:b w:val="0"/>
                <w:sz w:val="15"/>
              </w:rPr>
              <w:t>min_anchor_lexical_score</w:t>
            </w:r>
          </w:p>
        </w:tc>
        <w:tc>
          <w:tcPr>
            <w:tcW w:type="dxa" w:w="1296"/>
            <w:vAlign w:val="center"/>
          </w:tcPr>
          <w:p>
            <w:pPr>
              <w:spacing w:after="0"/>
            </w:pPr>
            <w:r/>
            <w:r>
              <w:rPr>
                <w:rFonts w:ascii="Aptos" w:hAnsi="Aptos"/>
                <w:b w:val="0"/>
                <w:sz w:val="15"/>
              </w:rPr>
              <w:t>0.48</w:t>
            </w:r>
          </w:p>
        </w:tc>
        <w:tc>
          <w:tcPr>
            <w:tcW w:type="dxa" w:w="3888"/>
            <w:vAlign w:val="center"/>
          </w:tcPr>
          <w:p>
            <w:pPr>
              <w:spacing w:after="0"/>
            </w:pPr>
            <w:r/>
            <w:r>
              <w:rPr>
                <w:rFonts w:ascii="Aptos" w:hAnsi="Aptos"/>
                <w:b w:val="0"/>
                <w:sz w:val="15"/>
              </w:rPr>
              <w:t>Minimum component/text score to keep a candidate.</w:t>
            </w:r>
          </w:p>
        </w:tc>
        <w:tc>
          <w:tcPr>
            <w:tcW w:type="dxa" w:w="3312"/>
            <w:vAlign w:val="center"/>
          </w:tcPr>
          <w:p>
            <w:pPr>
              <w:spacing w:after="0"/>
            </w:pPr>
            <w:r/>
            <w:r>
              <w:rPr>
                <w:rFonts w:ascii="Aptos" w:hAnsi="Aptos"/>
                <w:b w:val="0"/>
                <w:sz w:val="15"/>
              </w:rPr>
              <w:t>Lower improves recall but increases false candidates; raise to reduce noise.</w:t>
            </w:r>
          </w:p>
        </w:tc>
      </w:tr>
      <w:tr>
        <w:trPr>
          <w:cantSplit/>
        </w:trPr>
        <w:tc>
          <w:tcPr>
            <w:tcW w:type="dxa" w:w="2520"/>
            <w:vAlign w:val="center"/>
          </w:tcPr>
          <w:p>
            <w:pPr>
              <w:spacing w:after="0"/>
            </w:pPr>
            <w:r/>
            <w:r>
              <w:rPr>
                <w:rFonts w:ascii="Aptos" w:hAnsi="Aptos"/>
                <w:b w:val="0"/>
                <w:sz w:val="15"/>
              </w:rPr>
              <w:t>strong_anchor_lexical_score</w:t>
            </w:r>
          </w:p>
        </w:tc>
        <w:tc>
          <w:tcPr>
            <w:tcW w:type="dxa" w:w="1296"/>
            <w:vAlign w:val="center"/>
          </w:tcPr>
          <w:p>
            <w:pPr>
              <w:spacing w:after="0"/>
            </w:pPr>
            <w:r/>
            <w:r>
              <w:rPr>
                <w:rFonts w:ascii="Aptos" w:hAnsi="Aptos"/>
                <w:b w:val="0"/>
                <w:sz w:val="15"/>
              </w:rPr>
              <w:t>0.78</w:t>
            </w:r>
          </w:p>
        </w:tc>
        <w:tc>
          <w:tcPr>
            <w:tcW w:type="dxa" w:w="3888"/>
            <w:vAlign w:val="center"/>
          </w:tcPr>
          <w:p>
            <w:pPr>
              <w:spacing w:after="0"/>
            </w:pPr>
            <w:r/>
            <w:r>
              <w:rPr>
                <w:rFonts w:ascii="Aptos" w:hAnsi="Aptos"/>
                <w:b w:val="0"/>
                <w:sz w:val="15"/>
              </w:rPr>
              <w:t>Below this, fallback LLM search variants may run.</w:t>
            </w:r>
          </w:p>
        </w:tc>
        <w:tc>
          <w:tcPr>
            <w:tcW w:type="dxa" w:w="3312"/>
            <w:vAlign w:val="center"/>
          </w:tcPr>
          <w:p>
            <w:pPr>
              <w:spacing w:after="0"/>
            </w:pPr>
            <w:r/>
            <w:r>
              <w:rPr>
                <w:rFonts w:ascii="Aptos" w:hAnsi="Aptos"/>
                <w:b w:val="0"/>
                <w:sz w:val="15"/>
              </w:rPr>
              <w:t>Lower to reduce LLM calls; raise when text is especially noisy.</w:t>
            </w:r>
          </w:p>
        </w:tc>
      </w:tr>
      <w:tr>
        <w:trPr>
          <w:cantSplit/>
        </w:trPr>
        <w:tc>
          <w:tcPr>
            <w:tcW w:type="dxa" w:w="2520"/>
            <w:vAlign w:val="center"/>
          </w:tcPr>
          <w:p>
            <w:pPr>
              <w:spacing w:after="0"/>
            </w:pPr>
            <w:r/>
            <w:r>
              <w:rPr>
                <w:rFonts w:ascii="Aptos" w:hAnsi="Aptos"/>
                <w:b w:val="0"/>
                <w:sz w:val="15"/>
              </w:rPr>
              <w:t>hypothesis_beam_width</w:t>
            </w:r>
          </w:p>
        </w:tc>
        <w:tc>
          <w:tcPr>
            <w:tcW w:type="dxa" w:w="1296"/>
            <w:vAlign w:val="center"/>
          </w:tcPr>
          <w:p>
            <w:pPr>
              <w:spacing w:after="0"/>
            </w:pPr>
            <w:r/>
            <w:r>
              <w:rPr>
                <w:rFonts w:ascii="Aptos" w:hAnsi="Aptos"/>
                <w:b w:val="0"/>
                <w:sz w:val="15"/>
              </w:rPr>
              <w:t>60</w:t>
            </w:r>
          </w:p>
        </w:tc>
        <w:tc>
          <w:tcPr>
            <w:tcW w:type="dxa" w:w="3888"/>
            <w:vAlign w:val="center"/>
          </w:tcPr>
          <w:p>
            <w:pPr>
              <w:spacing w:after="0"/>
            </w:pPr>
            <w:r/>
            <w:r>
              <w:rPr>
                <w:rFonts w:ascii="Aptos" w:hAnsi="Aptos"/>
                <w:b w:val="0"/>
                <w:sz w:val="15"/>
              </w:rPr>
              <w:t>Partial whole-description hypotheses retained during beam search.</w:t>
            </w:r>
          </w:p>
        </w:tc>
        <w:tc>
          <w:tcPr>
            <w:tcW w:type="dxa" w:w="3312"/>
            <w:vAlign w:val="center"/>
          </w:tcPr>
          <w:p>
            <w:pPr>
              <w:spacing w:after="0"/>
            </w:pPr>
            <w:r/>
            <w:r>
              <w:rPr>
                <w:rFonts w:ascii="Aptos" w:hAnsi="Aptos"/>
                <w:b w:val="0"/>
                <w:sz w:val="15"/>
              </w:rPr>
              <w:t>Raise for descriptions with many highly ambiguous anchors; watch CPU/memory.</w:t>
            </w:r>
          </w:p>
        </w:tc>
      </w:tr>
      <w:tr>
        <w:trPr>
          <w:cantSplit/>
        </w:trPr>
        <w:tc>
          <w:tcPr>
            <w:tcW w:type="dxa" w:w="2520"/>
            <w:vAlign w:val="center"/>
          </w:tcPr>
          <w:p>
            <w:pPr>
              <w:spacing w:after="0"/>
            </w:pPr>
            <w:r/>
            <w:r>
              <w:rPr>
                <w:rFonts w:ascii="Aptos" w:hAnsi="Aptos"/>
                <w:b w:val="0"/>
                <w:sz w:val="15"/>
              </w:rPr>
              <w:t>max_anchor_hypotheses</w:t>
            </w:r>
          </w:p>
        </w:tc>
        <w:tc>
          <w:tcPr>
            <w:tcW w:type="dxa" w:w="1296"/>
            <w:vAlign w:val="center"/>
          </w:tcPr>
          <w:p>
            <w:pPr>
              <w:spacing w:after="0"/>
            </w:pPr>
            <w:r/>
            <w:r>
              <w:rPr>
                <w:rFonts w:ascii="Aptos" w:hAnsi="Aptos"/>
                <w:b w:val="0"/>
                <w:sz w:val="15"/>
              </w:rPr>
              <w:t>8</w:t>
            </w:r>
          </w:p>
        </w:tc>
        <w:tc>
          <w:tcPr>
            <w:tcW w:type="dxa" w:w="3888"/>
            <w:vAlign w:val="center"/>
          </w:tcPr>
          <w:p>
            <w:pPr>
              <w:spacing w:after="0"/>
            </w:pPr>
            <w:r/>
            <w:r>
              <w:rPr>
                <w:rFonts w:ascii="Aptos" w:hAnsi="Aptos"/>
                <w:b w:val="0"/>
                <w:sz w:val="15"/>
              </w:rPr>
              <w:t>Whole-description geographic hypotheses sent to polygon search.</w:t>
            </w:r>
          </w:p>
        </w:tc>
        <w:tc>
          <w:tcPr>
            <w:tcW w:type="dxa" w:w="3312"/>
            <w:vAlign w:val="center"/>
          </w:tcPr>
          <w:p>
            <w:pPr>
              <w:spacing w:after="0"/>
            </w:pPr>
            <w:r/>
            <w:r>
              <w:rPr>
                <w:rFonts w:ascii="Aptos" w:hAnsi="Aptos"/>
                <w:b w:val="0"/>
                <w:sz w:val="15"/>
              </w:rPr>
              <w:t>Raise when multiple towns/areas regularly remain plausible.</w:t>
            </w:r>
          </w:p>
        </w:tc>
      </w:tr>
      <w:tr>
        <w:trPr>
          <w:cantSplit/>
        </w:trPr>
        <w:tc>
          <w:tcPr>
            <w:tcW w:type="dxa" w:w="2520"/>
            <w:vAlign w:val="center"/>
          </w:tcPr>
          <w:p>
            <w:pPr>
              <w:spacing w:after="0"/>
            </w:pPr>
            <w:r/>
            <w:r>
              <w:rPr>
                <w:rFonts w:ascii="Aptos" w:hAnsi="Aptos"/>
                <w:b w:val="0"/>
                <w:sz w:val="15"/>
              </w:rPr>
              <w:t>unresolved_anchor_penalty</w:t>
            </w:r>
          </w:p>
        </w:tc>
        <w:tc>
          <w:tcPr>
            <w:tcW w:type="dxa" w:w="1296"/>
            <w:vAlign w:val="center"/>
          </w:tcPr>
          <w:p>
            <w:pPr>
              <w:spacing w:after="0"/>
            </w:pPr>
            <w:r/>
            <w:r>
              <w:rPr>
                <w:rFonts w:ascii="Aptos" w:hAnsi="Aptos"/>
                <w:b w:val="0"/>
                <w:sz w:val="15"/>
              </w:rPr>
              <w:t>0.22</w:t>
            </w:r>
          </w:p>
        </w:tc>
        <w:tc>
          <w:tcPr>
            <w:tcW w:type="dxa" w:w="3888"/>
            <w:vAlign w:val="center"/>
          </w:tcPr>
          <w:p>
            <w:pPr>
              <w:spacing w:after="0"/>
            </w:pPr>
            <w:r/>
            <w:r>
              <w:rPr>
                <w:rFonts w:ascii="Aptos" w:hAnsi="Aptos"/>
                <w:b w:val="0"/>
                <w:sz w:val="15"/>
              </w:rPr>
              <w:t>Penalty for leaving an anchor unresolved.</w:t>
            </w:r>
          </w:p>
        </w:tc>
        <w:tc>
          <w:tcPr>
            <w:tcW w:type="dxa" w:w="3312"/>
            <w:vAlign w:val="center"/>
          </w:tcPr>
          <w:p>
            <w:pPr>
              <w:spacing w:after="0"/>
            </w:pPr>
            <w:r/>
            <w:r>
              <w:rPr>
                <w:rFonts w:ascii="Aptos" w:hAnsi="Aptos"/>
                <w:b w:val="0"/>
                <w:sz w:val="15"/>
              </w:rPr>
              <w:t>Lower if one bad anchor is causing good hypotheses to be discarded; raise if too many anchors are ignored.</w:t>
            </w:r>
          </w:p>
        </w:tc>
      </w:tr>
      <w:tr>
        <w:trPr>
          <w:cantSplit/>
        </w:trPr>
        <w:tc>
          <w:tcPr>
            <w:tcW w:type="dxa" w:w="2520"/>
            <w:vAlign w:val="center"/>
          </w:tcPr>
          <w:p>
            <w:pPr>
              <w:spacing w:after="0"/>
            </w:pPr>
            <w:r/>
            <w:r>
              <w:rPr>
                <w:rFonts w:ascii="Aptos" w:hAnsi="Aptos"/>
                <w:b w:val="0"/>
                <w:sz w:val="15"/>
              </w:rPr>
              <w:t>geographic_coherence_scale_m</w:t>
            </w:r>
          </w:p>
        </w:tc>
        <w:tc>
          <w:tcPr>
            <w:tcW w:type="dxa" w:w="1296"/>
            <w:vAlign w:val="center"/>
          </w:tcPr>
          <w:p>
            <w:pPr>
              <w:spacing w:after="0"/>
            </w:pPr>
            <w:r/>
            <w:r>
              <w:rPr>
                <w:rFonts w:ascii="Aptos" w:hAnsi="Aptos"/>
                <w:b w:val="0"/>
                <w:sz w:val="15"/>
              </w:rPr>
              <w:t>2,500 m</w:t>
            </w:r>
          </w:p>
        </w:tc>
        <w:tc>
          <w:tcPr>
            <w:tcW w:type="dxa" w:w="3888"/>
            <w:vAlign w:val="center"/>
          </w:tcPr>
          <w:p>
            <w:pPr>
              <w:spacing w:after="0"/>
            </w:pPr>
            <w:r/>
            <w:r>
              <w:rPr>
                <w:rFonts w:ascii="Aptos" w:hAnsi="Aptos"/>
                <w:b w:val="0"/>
                <w:sz w:val="15"/>
              </w:rPr>
              <w:t>Soft distance scale for local anchor coherence.</w:t>
            </w:r>
          </w:p>
        </w:tc>
        <w:tc>
          <w:tcPr>
            <w:tcW w:type="dxa" w:w="3312"/>
            <w:vAlign w:val="center"/>
          </w:tcPr>
          <w:p>
            <w:pPr>
              <w:spacing w:after="0"/>
            </w:pPr>
            <w:r/>
            <w:r>
              <w:rPr>
                <w:rFonts w:ascii="Aptos" w:hAnsi="Aptos"/>
                <w:b w:val="0"/>
                <w:sz w:val="15"/>
              </w:rPr>
              <w:t>Increase for rural descriptions; decrease for dense urban cases.</w:t>
            </w:r>
          </w:p>
        </w:tc>
      </w:tr>
      <w:tr>
        <w:trPr>
          <w:cantSplit/>
        </w:trPr>
        <w:tc>
          <w:tcPr>
            <w:tcW w:type="dxa" w:w="2520"/>
            <w:vAlign w:val="center"/>
          </w:tcPr>
          <w:p>
            <w:pPr>
              <w:spacing w:after="0"/>
            </w:pPr>
            <w:r/>
            <w:r>
              <w:rPr>
                <w:rFonts w:ascii="Aptos" w:hAnsi="Aptos"/>
                <w:b w:val="0"/>
                <w:sz w:val="15"/>
              </w:rPr>
              <w:t>geographic_hard_cutoff_m</w:t>
            </w:r>
          </w:p>
        </w:tc>
        <w:tc>
          <w:tcPr>
            <w:tcW w:type="dxa" w:w="1296"/>
            <w:vAlign w:val="center"/>
          </w:tcPr>
          <w:p>
            <w:pPr>
              <w:spacing w:after="0"/>
            </w:pPr>
            <w:r/>
            <w:r>
              <w:rPr>
                <w:rFonts w:ascii="Aptos" w:hAnsi="Aptos"/>
                <w:b w:val="0"/>
                <w:sz w:val="15"/>
              </w:rPr>
              <w:t>30,000 m</w:t>
            </w:r>
          </w:p>
        </w:tc>
        <w:tc>
          <w:tcPr>
            <w:tcW w:type="dxa" w:w="3888"/>
            <w:vAlign w:val="center"/>
          </w:tcPr>
          <w:p>
            <w:pPr>
              <w:spacing w:after="0"/>
            </w:pPr>
            <w:r/>
            <w:r>
              <w:rPr>
                <w:rFonts w:ascii="Aptos" w:hAnsi="Aptos"/>
                <w:b w:val="0"/>
                <w:sz w:val="15"/>
              </w:rPr>
              <w:t>Strong penalty for non-settlement anchors extremely far apart.</w:t>
            </w:r>
          </w:p>
        </w:tc>
        <w:tc>
          <w:tcPr>
            <w:tcW w:type="dxa" w:w="3312"/>
            <w:vAlign w:val="center"/>
          </w:tcPr>
          <w:p>
            <w:pPr>
              <w:spacing w:after="0"/>
            </w:pPr>
            <w:r/>
            <w:r>
              <w:rPr>
                <w:rFonts w:ascii="Aptos" w:hAnsi="Aptos"/>
                <w:b w:val="0"/>
                <w:sz w:val="15"/>
              </w:rPr>
              <w:t>Increase only if legitimate descriptions span large areas.</w:t>
            </w:r>
          </w:p>
        </w:tc>
      </w:tr>
      <w:tr>
        <w:trPr>
          <w:cantSplit/>
        </w:trPr>
        <w:tc>
          <w:tcPr>
            <w:tcW w:type="dxa" w:w="2520"/>
            <w:vAlign w:val="center"/>
          </w:tcPr>
          <w:p>
            <w:pPr>
              <w:spacing w:after="0"/>
            </w:pPr>
            <w:r/>
            <w:r>
              <w:rPr>
                <w:rFonts w:ascii="Aptos" w:hAnsi="Aptos"/>
                <w:b w:val="0"/>
                <w:sz w:val="15"/>
              </w:rPr>
              <w:t>default_subject_search_radius_m</w:t>
            </w:r>
          </w:p>
        </w:tc>
        <w:tc>
          <w:tcPr>
            <w:tcW w:type="dxa" w:w="1296"/>
            <w:vAlign w:val="center"/>
          </w:tcPr>
          <w:p>
            <w:pPr>
              <w:spacing w:after="0"/>
            </w:pPr>
            <w:r/>
            <w:r>
              <w:rPr>
                <w:rFonts w:ascii="Aptos" w:hAnsi="Aptos"/>
                <w:b w:val="0"/>
                <w:sz w:val="15"/>
              </w:rPr>
              <w:t>180 m</w:t>
            </w:r>
          </w:p>
        </w:tc>
        <w:tc>
          <w:tcPr>
            <w:tcW w:type="dxa" w:w="3888"/>
            <w:vAlign w:val="center"/>
          </w:tcPr>
          <w:p>
            <w:pPr>
              <w:spacing w:after="0"/>
            </w:pPr>
            <w:r/>
            <w:r>
              <w:rPr>
                <w:rFonts w:ascii="Aptos" w:hAnsi="Aptos"/>
                <w:b w:val="0"/>
                <w:sz w:val="15"/>
              </w:rPr>
              <w:t>Base INSPIRE search buffer.</w:t>
            </w:r>
          </w:p>
        </w:tc>
        <w:tc>
          <w:tcPr>
            <w:tcW w:type="dxa" w:w="3312"/>
            <w:vAlign w:val="center"/>
          </w:tcPr>
          <w:p>
            <w:pPr>
              <w:spacing w:after="0"/>
            </w:pPr>
            <w:r/>
            <w:r>
              <w:rPr>
                <w:rFonts w:ascii="Aptos" w:hAnsi="Aptos"/>
                <w:b w:val="0"/>
                <w:sz w:val="15"/>
              </w:rPr>
              <w:t>Increase if target land often lies farther from anchors; raises candidate count.</w:t>
            </w:r>
          </w:p>
        </w:tc>
      </w:tr>
      <w:tr>
        <w:trPr>
          <w:cantSplit/>
        </w:trPr>
        <w:tc>
          <w:tcPr>
            <w:tcW w:type="dxa" w:w="2520"/>
            <w:vAlign w:val="center"/>
          </w:tcPr>
          <w:p>
            <w:pPr>
              <w:spacing w:after="0"/>
            </w:pPr>
            <w:r/>
            <w:r>
              <w:rPr>
                <w:rFonts w:ascii="Aptos" w:hAnsi="Aptos"/>
                <w:b w:val="0"/>
                <w:sz w:val="15"/>
              </w:rPr>
              <w:t>rural_subject_search_radius_m</w:t>
            </w:r>
          </w:p>
        </w:tc>
        <w:tc>
          <w:tcPr>
            <w:tcW w:type="dxa" w:w="1296"/>
            <w:vAlign w:val="center"/>
          </w:tcPr>
          <w:p>
            <w:pPr>
              <w:spacing w:after="0"/>
            </w:pPr>
            <w:r/>
            <w:r>
              <w:rPr>
                <w:rFonts w:ascii="Aptos" w:hAnsi="Aptos"/>
                <w:b w:val="0"/>
                <w:sz w:val="15"/>
              </w:rPr>
              <w:t>600 m</w:t>
            </w:r>
          </w:p>
        </w:tc>
        <w:tc>
          <w:tcPr>
            <w:tcW w:type="dxa" w:w="3888"/>
            <w:vAlign w:val="center"/>
          </w:tcPr>
          <w:p>
            <w:pPr>
              <w:spacing w:after="0"/>
            </w:pPr>
            <w:r/>
            <w:r>
              <w:rPr>
                <w:rFonts w:ascii="Aptos" w:hAnsi="Aptos"/>
                <w:b w:val="0"/>
                <w:sz w:val="15"/>
              </w:rPr>
              <w:t>Base radius for rural/farm/settlement contexts.</w:t>
            </w:r>
          </w:p>
        </w:tc>
        <w:tc>
          <w:tcPr>
            <w:tcW w:type="dxa" w:w="3312"/>
            <w:vAlign w:val="center"/>
          </w:tcPr>
          <w:p>
            <w:pPr>
              <w:spacing w:after="0"/>
            </w:pPr>
            <w:r/>
            <w:r>
              <w:rPr>
                <w:rFonts w:ascii="Aptos" w:hAnsi="Aptos"/>
                <w:b w:val="0"/>
                <w:sz w:val="15"/>
              </w:rPr>
              <w:t>Tune from rural misses; avoid making it huge before improving anchors.</w:t>
            </w:r>
          </w:p>
        </w:tc>
      </w:tr>
      <w:tr>
        <w:trPr>
          <w:cantSplit/>
        </w:trPr>
        <w:tc>
          <w:tcPr>
            <w:tcW w:type="dxa" w:w="2520"/>
            <w:vAlign w:val="center"/>
          </w:tcPr>
          <w:p>
            <w:pPr>
              <w:spacing w:after="0"/>
            </w:pPr>
            <w:r/>
            <w:r>
              <w:rPr>
                <w:rFonts w:ascii="Aptos" w:hAnsi="Aptos"/>
                <w:b w:val="0"/>
                <w:sz w:val="15"/>
              </w:rPr>
              <w:t>max_subject_search_radius_m</w:t>
            </w:r>
          </w:p>
        </w:tc>
        <w:tc>
          <w:tcPr>
            <w:tcW w:type="dxa" w:w="1296"/>
            <w:vAlign w:val="center"/>
          </w:tcPr>
          <w:p>
            <w:pPr>
              <w:spacing w:after="0"/>
            </w:pPr>
            <w:r/>
            <w:r>
              <w:rPr>
                <w:rFonts w:ascii="Aptos" w:hAnsi="Aptos"/>
                <w:b w:val="0"/>
                <w:sz w:val="15"/>
              </w:rPr>
              <w:t>5,000 m</w:t>
            </w:r>
          </w:p>
        </w:tc>
        <w:tc>
          <w:tcPr>
            <w:tcW w:type="dxa" w:w="3888"/>
            <w:vAlign w:val="center"/>
          </w:tcPr>
          <w:p>
            <w:pPr>
              <w:spacing w:after="0"/>
            </w:pPr>
            <w:r/>
            <w:r>
              <w:rPr>
                <w:rFonts w:ascii="Aptos" w:hAnsi="Aptos"/>
                <w:b w:val="0"/>
                <w:sz w:val="15"/>
              </w:rPr>
              <w:t>Absolute cap on local polygon search.</w:t>
            </w:r>
          </w:p>
        </w:tc>
        <w:tc>
          <w:tcPr>
            <w:tcW w:type="dxa" w:w="3312"/>
            <w:vAlign w:val="center"/>
          </w:tcPr>
          <w:p>
            <w:pPr>
              <w:spacing w:after="0"/>
            </w:pPr>
            <w:r/>
            <w:r>
              <w:rPr>
                <w:rFonts w:ascii="Aptos" w:hAnsi="Aptos"/>
                <w:b w:val="0"/>
                <w:sz w:val="15"/>
              </w:rPr>
              <w:t>A safety guard. Raise only with evidence that real cases exceed it.</w:t>
            </w:r>
          </w:p>
        </w:tc>
      </w:tr>
      <w:tr>
        <w:trPr>
          <w:cantSplit/>
        </w:trPr>
        <w:tc>
          <w:tcPr>
            <w:tcW w:type="dxa" w:w="2520"/>
            <w:vAlign w:val="center"/>
          </w:tcPr>
          <w:p>
            <w:pPr>
              <w:spacing w:after="0"/>
            </w:pPr>
            <w:r/>
            <w:r>
              <w:rPr>
                <w:rFonts w:ascii="Aptos" w:hAnsi="Aptos"/>
                <w:b w:val="0"/>
                <w:sz w:val="15"/>
              </w:rPr>
              <w:t>max_inspire_candidates_per_hypothesis</w:t>
            </w:r>
          </w:p>
        </w:tc>
        <w:tc>
          <w:tcPr>
            <w:tcW w:type="dxa" w:w="1296"/>
            <w:vAlign w:val="center"/>
          </w:tcPr>
          <w:p>
            <w:pPr>
              <w:spacing w:after="0"/>
            </w:pPr>
            <w:r/>
            <w:r>
              <w:rPr>
                <w:rFonts w:ascii="Aptos" w:hAnsi="Aptos"/>
                <w:b w:val="0"/>
                <w:sz w:val="15"/>
              </w:rPr>
              <w:t>250</w:t>
            </w:r>
          </w:p>
        </w:tc>
        <w:tc>
          <w:tcPr>
            <w:tcW w:type="dxa" w:w="3888"/>
            <w:vAlign w:val="center"/>
          </w:tcPr>
          <w:p>
            <w:pPr>
              <w:spacing w:after="0"/>
            </w:pPr>
            <w:r/>
            <w:r>
              <w:rPr>
                <w:rFonts w:ascii="Aptos" w:hAnsi="Aptos"/>
                <w:b w:val="0"/>
                <w:sz w:val="15"/>
              </w:rPr>
              <w:t>Maximum polygons scored under one hypothesis.</w:t>
            </w:r>
          </w:p>
        </w:tc>
        <w:tc>
          <w:tcPr>
            <w:tcW w:type="dxa" w:w="3312"/>
            <w:vAlign w:val="center"/>
          </w:tcPr>
          <w:p>
            <w:pPr>
              <w:spacing w:after="0"/>
            </w:pPr>
            <w:r/>
            <w:r>
              <w:rPr>
                <w:rFonts w:ascii="Aptos" w:hAnsi="Aptos"/>
                <w:b w:val="0"/>
                <w:sz w:val="15"/>
              </w:rPr>
              <w:t>Raise if dense urban tiles truncate candidates; lower for speed.</w:t>
            </w:r>
          </w:p>
        </w:tc>
      </w:tr>
      <w:tr>
        <w:trPr>
          <w:cantSplit/>
        </w:trPr>
        <w:tc>
          <w:tcPr>
            <w:tcW w:type="dxa" w:w="2520"/>
            <w:vAlign w:val="center"/>
          </w:tcPr>
          <w:p>
            <w:pPr>
              <w:spacing w:after="0"/>
            </w:pPr>
            <w:r/>
            <w:r>
              <w:rPr>
                <w:rFonts w:ascii="Aptos" w:hAnsi="Aptos"/>
                <w:b w:val="0"/>
                <w:sz w:val="15"/>
              </w:rPr>
              <w:t>anchor_parcel_search_radius_m</w:t>
            </w:r>
          </w:p>
        </w:tc>
        <w:tc>
          <w:tcPr>
            <w:tcW w:type="dxa" w:w="1296"/>
            <w:vAlign w:val="center"/>
          </w:tcPr>
          <w:p>
            <w:pPr>
              <w:spacing w:after="0"/>
            </w:pPr>
            <w:r/>
            <w:r>
              <w:rPr>
                <w:rFonts w:ascii="Aptos" w:hAnsi="Aptos"/>
                <w:b w:val="0"/>
                <w:sz w:val="15"/>
              </w:rPr>
              <w:t>60 m</w:t>
            </w:r>
          </w:p>
        </w:tc>
        <w:tc>
          <w:tcPr>
            <w:tcW w:type="dxa" w:w="3888"/>
            <w:vAlign w:val="center"/>
          </w:tcPr>
          <w:p>
            <w:pPr>
              <w:spacing w:after="0"/>
            </w:pPr>
            <w:r/>
            <w:r>
              <w:rPr>
                <w:rFonts w:ascii="Aptos" w:hAnsi="Aptos"/>
                <w:b w:val="0"/>
                <w:sz w:val="15"/>
              </w:rPr>
              <w:t>Area searched for an INSPIRE extent around an address point.</w:t>
            </w:r>
          </w:p>
        </w:tc>
        <w:tc>
          <w:tcPr>
            <w:tcW w:type="dxa" w:w="3312"/>
            <w:vAlign w:val="center"/>
          </w:tcPr>
          <w:p>
            <w:pPr>
              <w:spacing w:after="0"/>
            </w:pPr>
            <w:r/>
            <w:r>
              <w:rPr>
                <w:rFonts w:ascii="Aptos" w:hAnsi="Aptos"/>
                <w:b w:val="0"/>
                <w:sz w:val="15"/>
              </w:rPr>
              <w:t>Raise carefully in rural sites; too high can attach wrong parcels.</w:t>
            </w:r>
          </w:p>
        </w:tc>
      </w:tr>
      <w:tr>
        <w:trPr>
          <w:cantSplit/>
        </w:trPr>
        <w:tc>
          <w:tcPr>
            <w:tcW w:type="dxa" w:w="2520"/>
            <w:vAlign w:val="center"/>
          </w:tcPr>
          <w:p>
            <w:pPr>
              <w:spacing w:after="0"/>
            </w:pPr>
            <w:r/>
            <w:r>
              <w:rPr>
                <w:rFonts w:ascii="Aptos" w:hAnsi="Aptos"/>
                <w:b w:val="0"/>
                <w:sz w:val="15"/>
              </w:rPr>
              <w:t>anchor_parcel_max_distance_m</w:t>
            </w:r>
          </w:p>
        </w:tc>
        <w:tc>
          <w:tcPr>
            <w:tcW w:type="dxa" w:w="1296"/>
            <w:vAlign w:val="center"/>
          </w:tcPr>
          <w:p>
            <w:pPr>
              <w:spacing w:after="0"/>
            </w:pPr>
            <w:r/>
            <w:r>
              <w:rPr>
                <w:rFonts w:ascii="Aptos" w:hAnsi="Aptos"/>
                <w:b w:val="0"/>
                <w:sz w:val="15"/>
              </w:rPr>
              <w:t>35 m</w:t>
            </w:r>
          </w:p>
        </w:tc>
        <w:tc>
          <w:tcPr>
            <w:tcW w:type="dxa" w:w="3888"/>
            <w:vAlign w:val="center"/>
          </w:tcPr>
          <w:p>
            <w:pPr>
              <w:spacing w:after="0"/>
            </w:pPr>
            <w:r/>
            <w:r>
              <w:rPr>
                <w:rFonts w:ascii="Aptos" w:hAnsi="Aptos"/>
                <w:b w:val="0"/>
                <w:sz w:val="15"/>
              </w:rPr>
              <w:t>Maximum distance to accept nearest non-containing anchor polygon.</w:t>
            </w:r>
          </w:p>
        </w:tc>
        <w:tc>
          <w:tcPr>
            <w:tcW w:type="dxa" w:w="3312"/>
            <w:vAlign w:val="center"/>
          </w:tcPr>
          <w:p>
            <w:pPr>
              <w:spacing w:after="0"/>
            </w:pPr>
            <w:r/>
            <w:r>
              <w:rPr>
                <w:rFonts w:ascii="Aptos" w:hAnsi="Aptos"/>
                <w:b w:val="0"/>
                <w:sz w:val="15"/>
              </w:rPr>
              <w:t>Lower for dense areas; raise only after checking false anchor-parcel links.</w:t>
            </w:r>
          </w:p>
        </w:tc>
      </w:tr>
    </w:tbl>
    <w:p>
      <w:pPr>
        <w:spacing w:after="20"/>
      </w:pPr>
    </w:p>
    <w:p>
      <w:pPr>
        <w:pStyle w:val="Heading2"/>
      </w:pPr>
      <w:r>
        <w:t>11.3 SpatialConfig</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20"/>
            <w:vAlign w:val="center"/>
            <w:shd w:fill="D9EAF7"/>
          </w:tcPr>
          <w:p>
            <w:pPr>
              <w:spacing w:after="0"/>
            </w:pPr>
            <w:r/>
            <w:r>
              <w:rPr>
                <w:rFonts w:ascii="Aptos" w:hAnsi="Aptos"/>
                <w:b/>
                <w:sz w:val="15"/>
              </w:rPr>
              <w:t>Parameter</w:t>
            </w:r>
          </w:p>
        </w:tc>
        <w:tc>
          <w:tcPr>
            <w:tcW w:type="dxa" w:w="1368"/>
            <w:vAlign w:val="center"/>
            <w:shd w:fill="D9EAF7"/>
          </w:tcPr>
          <w:p>
            <w:pPr>
              <w:spacing w:after="0"/>
            </w:pPr>
            <w:r/>
            <w:r>
              <w:rPr>
                <w:rFonts w:ascii="Aptos" w:hAnsi="Aptos"/>
                <w:b/>
                <w:sz w:val="15"/>
              </w:rPr>
              <w:t>Default</w:t>
            </w:r>
          </w:p>
        </w:tc>
        <w:tc>
          <w:tcPr>
            <w:tcW w:type="dxa" w:w="3816"/>
            <w:vAlign w:val="center"/>
            <w:shd w:fill="D9EAF7"/>
          </w:tcPr>
          <w:p>
            <w:pPr>
              <w:spacing w:after="0"/>
            </w:pPr>
            <w:r/>
            <w:r>
              <w:rPr>
                <w:rFonts w:ascii="Aptos" w:hAnsi="Aptos"/>
                <w:b/>
                <w:sz w:val="15"/>
              </w:rPr>
              <w:t>Meaning</w:t>
            </w:r>
          </w:p>
        </w:tc>
        <w:tc>
          <w:tcPr>
            <w:tcW w:type="dxa" w:w="3312"/>
            <w:vAlign w:val="center"/>
            <w:shd w:fill="D9EAF7"/>
          </w:tcPr>
          <w:p>
            <w:pPr>
              <w:spacing w:after="0"/>
            </w:pPr>
            <w:r/>
            <w:r>
              <w:rPr>
                <w:rFonts w:ascii="Aptos" w:hAnsi="Aptos"/>
                <w:b/>
                <w:sz w:val="15"/>
              </w:rPr>
              <w:t>Tuning guidance</w:t>
            </w:r>
          </w:p>
        </w:tc>
      </w:tr>
      <w:tr>
        <w:trPr>
          <w:cantSplit/>
        </w:trPr>
        <w:tc>
          <w:tcPr>
            <w:tcW w:type="dxa" w:w="2520"/>
            <w:vAlign w:val="center"/>
          </w:tcPr>
          <w:p>
            <w:pPr>
              <w:spacing w:after="0"/>
            </w:pPr>
            <w:r/>
            <w:r>
              <w:rPr>
                <w:rFonts w:ascii="Aptos" w:hAnsi="Aptos"/>
                <w:b w:val="0"/>
                <w:sz w:val="15"/>
              </w:rPr>
              <w:t>adjacent_boundary_scale_m</w:t>
            </w:r>
          </w:p>
        </w:tc>
        <w:tc>
          <w:tcPr>
            <w:tcW w:type="dxa" w:w="1368"/>
            <w:vAlign w:val="center"/>
          </w:tcPr>
          <w:p>
            <w:pPr>
              <w:spacing w:after="0"/>
            </w:pPr>
            <w:r/>
            <w:r>
              <w:rPr>
                <w:rFonts w:ascii="Aptos" w:hAnsi="Aptos"/>
                <w:b w:val="0"/>
                <w:sz w:val="15"/>
              </w:rPr>
              <w:t>8 m</w:t>
            </w:r>
          </w:p>
        </w:tc>
        <w:tc>
          <w:tcPr>
            <w:tcW w:type="dxa" w:w="3816"/>
            <w:vAlign w:val="center"/>
          </w:tcPr>
          <w:p>
            <w:pPr>
              <w:spacing w:after="0"/>
            </w:pPr>
            <w:r/>
            <w:r>
              <w:rPr>
                <w:rFonts w:ascii="Aptos" w:hAnsi="Aptos"/>
                <w:b w:val="0"/>
                <w:sz w:val="15"/>
              </w:rPr>
              <w:t>Soft decay scale when both candidate and anchor parcel geometry exist.</w:t>
            </w:r>
          </w:p>
        </w:tc>
        <w:tc>
          <w:tcPr>
            <w:tcW w:type="dxa" w:w="3312"/>
            <w:vAlign w:val="center"/>
          </w:tcPr>
          <w:p>
            <w:pPr>
              <w:spacing w:after="0"/>
            </w:pPr>
            <w:r/>
            <w:r>
              <w:rPr>
                <w:rFonts w:ascii="Aptos" w:hAnsi="Aptos"/>
                <w:b w:val="0"/>
                <w:sz w:val="15"/>
              </w:rPr>
              <w:t>Lower for strict touching-like behaviour; raise for indicative/misaligned polygons.</w:t>
            </w:r>
          </w:p>
        </w:tc>
      </w:tr>
      <w:tr>
        <w:trPr>
          <w:cantSplit/>
        </w:trPr>
        <w:tc>
          <w:tcPr>
            <w:tcW w:type="dxa" w:w="2520"/>
            <w:vAlign w:val="center"/>
          </w:tcPr>
          <w:p>
            <w:pPr>
              <w:spacing w:after="0"/>
            </w:pPr>
            <w:r/>
            <w:r>
              <w:rPr>
                <w:rFonts w:ascii="Aptos" w:hAnsi="Aptos"/>
                <w:b w:val="0"/>
                <w:sz w:val="15"/>
              </w:rPr>
              <w:t>adjacent_point_scale_m</w:t>
            </w:r>
          </w:p>
        </w:tc>
        <w:tc>
          <w:tcPr>
            <w:tcW w:type="dxa" w:w="1368"/>
            <w:vAlign w:val="center"/>
          </w:tcPr>
          <w:p>
            <w:pPr>
              <w:spacing w:after="0"/>
            </w:pPr>
            <w:r/>
            <w:r>
              <w:rPr>
                <w:rFonts w:ascii="Aptos" w:hAnsi="Aptos"/>
                <w:b w:val="0"/>
                <w:sz w:val="15"/>
              </w:rPr>
              <w:t>30 m</w:t>
            </w:r>
          </w:p>
        </w:tc>
        <w:tc>
          <w:tcPr>
            <w:tcW w:type="dxa" w:w="3816"/>
            <w:vAlign w:val="center"/>
          </w:tcPr>
          <w:p>
            <w:pPr>
              <w:spacing w:after="0"/>
            </w:pPr>
            <w:r/>
            <w:r>
              <w:rPr>
                <w:rFonts w:ascii="Aptos" w:hAnsi="Aptos"/>
                <w:b w:val="0"/>
                <w:sz w:val="15"/>
              </w:rPr>
              <w:t>Adjacency scale when only an address/name point is known.</w:t>
            </w:r>
          </w:p>
        </w:tc>
        <w:tc>
          <w:tcPr>
            <w:tcW w:type="dxa" w:w="3312"/>
            <w:vAlign w:val="center"/>
          </w:tcPr>
          <w:p>
            <w:pPr>
              <w:spacing w:after="0"/>
            </w:pPr>
            <w:r/>
            <w:r>
              <w:rPr>
                <w:rFonts w:ascii="Aptos" w:hAnsi="Aptos"/>
                <w:b w:val="0"/>
                <w:sz w:val="15"/>
              </w:rPr>
              <w:t>Do not use the same tight threshold as polygon adjacency.</w:t>
            </w:r>
          </w:p>
        </w:tc>
      </w:tr>
      <w:tr>
        <w:trPr>
          <w:cantSplit/>
        </w:trPr>
        <w:tc>
          <w:tcPr>
            <w:tcW w:type="dxa" w:w="2520"/>
            <w:vAlign w:val="center"/>
          </w:tcPr>
          <w:p>
            <w:pPr>
              <w:spacing w:after="0"/>
            </w:pPr>
            <w:r/>
            <w:r>
              <w:rPr>
                <w:rFonts w:ascii="Aptos" w:hAnsi="Aptos"/>
                <w:b w:val="0"/>
                <w:sz w:val="15"/>
              </w:rPr>
              <w:t>same_extent_adjacency_score</w:t>
            </w:r>
          </w:p>
        </w:tc>
        <w:tc>
          <w:tcPr>
            <w:tcW w:type="dxa" w:w="1368"/>
            <w:vAlign w:val="center"/>
          </w:tcPr>
          <w:p>
            <w:pPr>
              <w:spacing w:after="0"/>
            </w:pPr>
            <w:r/>
            <w:r>
              <w:rPr>
                <w:rFonts w:ascii="Aptos" w:hAnsi="Aptos"/>
                <w:b w:val="0"/>
                <w:sz w:val="15"/>
              </w:rPr>
              <w:t>0.20</w:t>
            </w:r>
          </w:p>
        </w:tc>
        <w:tc>
          <w:tcPr>
            <w:tcW w:type="dxa" w:w="3816"/>
            <w:vAlign w:val="center"/>
          </w:tcPr>
          <w:p>
            <w:pPr>
              <w:spacing w:after="0"/>
            </w:pPr>
            <w:r/>
            <w:r>
              <w:rPr>
                <w:rFonts w:ascii="Aptos" w:hAnsi="Aptos"/>
                <w:b w:val="0"/>
                <w:sz w:val="15"/>
              </w:rPr>
              <w:t>Score used when the candidate is exactly the same indicative INSPIRE extent as the anchor parcel.</w:t>
            </w:r>
          </w:p>
        </w:tc>
        <w:tc>
          <w:tcPr>
            <w:tcW w:type="dxa" w:w="3312"/>
            <w:vAlign w:val="center"/>
          </w:tcPr>
          <w:p>
            <w:pPr>
              <w:spacing w:after="0"/>
            </w:pPr>
            <w:r/>
            <w:r>
              <w:rPr>
                <w:rFonts w:ascii="Aptos" w:hAnsi="Aptos"/>
                <w:b w:val="0"/>
                <w:sz w:val="15"/>
              </w:rPr>
              <w:t>Keep low so same registered extent is not mistaken for true adjacency; raise only if labelled cases show sub-land is commonly inside the same extent.</w:t>
            </w:r>
          </w:p>
        </w:tc>
      </w:tr>
      <w:tr>
        <w:trPr>
          <w:cantSplit/>
        </w:trPr>
        <w:tc>
          <w:tcPr>
            <w:tcW w:type="dxa" w:w="2520"/>
            <w:vAlign w:val="center"/>
          </w:tcPr>
          <w:p>
            <w:pPr>
              <w:spacing w:after="0"/>
            </w:pPr>
            <w:r/>
            <w:r>
              <w:rPr>
                <w:rFonts w:ascii="Aptos" w:hAnsi="Aptos"/>
                <w:b w:val="0"/>
                <w:sz w:val="15"/>
              </w:rPr>
              <w:t>near_scale_m</w:t>
            </w:r>
          </w:p>
        </w:tc>
        <w:tc>
          <w:tcPr>
            <w:tcW w:type="dxa" w:w="1368"/>
            <w:vAlign w:val="center"/>
          </w:tcPr>
          <w:p>
            <w:pPr>
              <w:spacing w:after="0"/>
            </w:pPr>
            <w:r/>
            <w:r>
              <w:rPr>
                <w:rFonts w:ascii="Aptos" w:hAnsi="Aptos"/>
                <w:b w:val="0"/>
                <w:sz w:val="15"/>
              </w:rPr>
              <w:t>100 m</w:t>
            </w:r>
          </w:p>
        </w:tc>
        <w:tc>
          <w:tcPr>
            <w:tcW w:type="dxa" w:w="3816"/>
            <w:vAlign w:val="center"/>
          </w:tcPr>
          <w:p>
            <w:pPr>
              <w:spacing w:after="0"/>
            </w:pPr>
            <w:r/>
            <w:r>
              <w:rPr>
                <w:rFonts w:ascii="Aptos" w:hAnsi="Aptos"/>
                <w:b w:val="0"/>
                <w:sz w:val="15"/>
              </w:rPr>
              <w:t>Soft distance scale for "near" and weak access/part-of fallbacks.</w:t>
            </w:r>
          </w:p>
        </w:tc>
        <w:tc>
          <w:tcPr>
            <w:tcW w:type="dxa" w:w="3312"/>
            <w:vAlign w:val="center"/>
          </w:tcPr>
          <w:p>
            <w:pPr>
              <w:spacing w:after="0"/>
            </w:pPr>
            <w:r/>
            <w:r>
              <w:rPr>
                <w:rFonts w:ascii="Aptos" w:hAnsi="Aptos"/>
                <w:b w:val="0"/>
                <w:sz w:val="15"/>
              </w:rPr>
              <w:t>Tune by urban/rural validation.</w:t>
            </w:r>
          </w:p>
        </w:tc>
      </w:tr>
      <w:tr>
        <w:trPr>
          <w:cantSplit/>
        </w:trPr>
        <w:tc>
          <w:tcPr>
            <w:tcW w:type="dxa" w:w="2520"/>
            <w:vAlign w:val="center"/>
          </w:tcPr>
          <w:p>
            <w:pPr>
              <w:spacing w:after="0"/>
            </w:pPr>
            <w:r/>
            <w:r>
              <w:rPr>
                <w:rFonts w:ascii="Aptos" w:hAnsi="Aptos"/>
                <w:b w:val="0"/>
                <w:sz w:val="15"/>
              </w:rPr>
              <w:t>between_corridor_m</w:t>
            </w:r>
          </w:p>
        </w:tc>
        <w:tc>
          <w:tcPr>
            <w:tcW w:type="dxa" w:w="1368"/>
            <w:vAlign w:val="center"/>
          </w:tcPr>
          <w:p>
            <w:pPr>
              <w:spacing w:after="0"/>
            </w:pPr>
            <w:r/>
            <w:r>
              <w:rPr>
                <w:rFonts w:ascii="Aptos" w:hAnsi="Aptos"/>
                <w:b w:val="0"/>
                <w:sz w:val="15"/>
              </w:rPr>
              <w:t>35 m</w:t>
            </w:r>
          </w:p>
        </w:tc>
        <w:tc>
          <w:tcPr>
            <w:tcW w:type="dxa" w:w="3816"/>
            <w:vAlign w:val="center"/>
          </w:tcPr>
          <w:p>
            <w:pPr>
              <w:spacing w:after="0"/>
            </w:pPr>
            <w:r/>
            <w:r>
              <w:rPr>
                <w:rFonts w:ascii="Aptos" w:hAnsi="Aptos"/>
                <w:b w:val="0"/>
                <w:sz w:val="15"/>
              </w:rPr>
              <w:t>Buffer around line/convex hull through 2+ anchors.</w:t>
            </w:r>
          </w:p>
        </w:tc>
        <w:tc>
          <w:tcPr>
            <w:tcW w:type="dxa" w:w="3312"/>
            <w:vAlign w:val="center"/>
          </w:tcPr>
          <w:p>
            <w:pPr>
              <w:spacing w:after="0"/>
            </w:pPr>
            <w:r/>
            <w:r>
              <w:rPr>
                <w:rFonts w:ascii="Aptos" w:hAnsi="Aptos"/>
                <w:b w:val="0"/>
                <w:sz w:val="15"/>
              </w:rPr>
              <w:t>Increase for larger plots/rural layouts; decrease if unrelated parcels score highly.</w:t>
            </w:r>
          </w:p>
        </w:tc>
      </w:tr>
      <w:tr>
        <w:trPr>
          <w:cantSplit/>
        </w:trPr>
        <w:tc>
          <w:tcPr>
            <w:tcW w:type="dxa" w:w="2520"/>
            <w:vAlign w:val="center"/>
          </w:tcPr>
          <w:p>
            <w:pPr>
              <w:spacing w:after="0"/>
            </w:pPr>
            <w:r/>
            <w:r>
              <w:rPr>
                <w:rFonts w:ascii="Aptos" w:hAnsi="Aptos"/>
                <w:b w:val="0"/>
                <w:sz w:val="15"/>
              </w:rPr>
              <w:t>direction_tolerance_deg</w:t>
            </w:r>
          </w:p>
        </w:tc>
        <w:tc>
          <w:tcPr>
            <w:tcW w:type="dxa" w:w="1368"/>
            <w:vAlign w:val="center"/>
          </w:tcPr>
          <w:p>
            <w:pPr>
              <w:spacing w:after="0"/>
            </w:pPr>
            <w:r/>
            <w:r>
              <w:rPr>
                <w:rFonts w:ascii="Aptos" w:hAnsi="Aptos"/>
                <w:b w:val="0"/>
                <w:sz w:val="15"/>
              </w:rPr>
              <w:t>55 deg</w:t>
            </w:r>
          </w:p>
        </w:tc>
        <w:tc>
          <w:tcPr>
            <w:tcW w:type="dxa" w:w="3816"/>
            <w:vAlign w:val="center"/>
          </w:tcPr>
          <w:p>
            <w:pPr>
              <w:spacing w:after="0"/>
            </w:pPr>
            <w:r/>
            <w:r>
              <w:rPr>
                <w:rFonts w:ascii="Aptos" w:hAnsi="Aptos"/>
                <w:b w:val="0"/>
                <w:sz w:val="15"/>
              </w:rPr>
              <w:t>Angular tolerance for north/south/east/west and boundary side.</w:t>
            </w:r>
          </w:p>
        </w:tc>
        <w:tc>
          <w:tcPr>
            <w:tcW w:type="dxa" w:w="3312"/>
            <w:vAlign w:val="center"/>
          </w:tcPr>
          <w:p>
            <w:pPr>
              <w:spacing w:after="0"/>
            </w:pPr>
            <w:r/>
            <w:r>
              <w:rPr>
                <w:rFonts w:ascii="Aptos" w:hAnsi="Aptos"/>
                <w:b w:val="0"/>
                <w:sz w:val="15"/>
              </w:rPr>
              <w:t>Lower for precise wording; raise if irregular parcel centroids create misses.</w:t>
            </w:r>
          </w:p>
        </w:tc>
      </w:tr>
      <w:tr>
        <w:trPr>
          <w:cantSplit/>
        </w:trPr>
        <w:tc>
          <w:tcPr>
            <w:tcW w:type="dxa" w:w="2520"/>
            <w:vAlign w:val="center"/>
          </w:tcPr>
          <w:p>
            <w:pPr>
              <w:spacing w:after="0"/>
            </w:pPr>
            <w:r/>
            <w:r>
              <w:rPr>
                <w:rFonts w:ascii="Aptos" w:hAnsi="Aptos"/>
                <w:b w:val="0"/>
                <w:sz w:val="15"/>
              </w:rPr>
              <w:t>bounded_by_scale_m</w:t>
            </w:r>
          </w:p>
        </w:tc>
        <w:tc>
          <w:tcPr>
            <w:tcW w:type="dxa" w:w="1368"/>
            <w:vAlign w:val="center"/>
          </w:tcPr>
          <w:p>
            <w:pPr>
              <w:spacing w:after="0"/>
            </w:pPr>
            <w:r/>
            <w:r>
              <w:rPr>
                <w:rFonts w:ascii="Aptos" w:hAnsi="Aptos"/>
                <w:b w:val="0"/>
                <w:sz w:val="15"/>
              </w:rPr>
              <w:t>15 m</w:t>
            </w:r>
          </w:p>
        </w:tc>
        <w:tc>
          <w:tcPr>
            <w:tcW w:type="dxa" w:w="3816"/>
            <w:vAlign w:val="center"/>
          </w:tcPr>
          <w:p>
            <w:pPr>
              <w:spacing w:after="0"/>
            </w:pPr>
            <w:r/>
            <w:r>
              <w:rPr>
                <w:rFonts w:ascii="Aptos" w:hAnsi="Aptos"/>
                <w:b w:val="0"/>
                <w:sz w:val="15"/>
              </w:rPr>
              <w:t>Boundary-to-road/river distance decay.</w:t>
            </w:r>
          </w:p>
        </w:tc>
        <w:tc>
          <w:tcPr>
            <w:tcW w:type="dxa" w:w="3312"/>
            <w:vAlign w:val="center"/>
          </w:tcPr>
          <w:p>
            <w:pPr>
              <w:spacing w:after="0"/>
            </w:pPr>
            <w:r/>
            <w:r>
              <w:rPr>
                <w:rFonts w:ascii="Aptos" w:hAnsi="Aptos"/>
                <w:b w:val="0"/>
                <w:sz w:val="15"/>
              </w:rPr>
              <w:t>Remember INSPIRE is indicative; too small can reject correct parcels.</w:t>
            </w:r>
          </w:p>
        </w:tc>
      </w:tr>
      <w:tr>
        <w:trPr>
          <w:cantSplit/>
        </w:trPr>
        <w:tc>
          <w:tcPr>
            <w:tcW w:type="dxa" w:w="2520"/>
            <w:vAlign w:val="center"/>
          </w:tcPr>
          <w:p>
            <w:pPr>
              <w:spacing w:after="0"/>
            </w:pPr>
            <w:r/>
            <w:r>
              <w:rPr>
                <w:rFonts w:ascii="Aptos" w:hAnsi="Aptos"/>
                <w:b w:val="0"/>
                <w:sz w:val="15"/>
              </w:rPr>
              <w:t>rear_front_distance_scale_m</w:t>
            </w:r>
          </w:p>
        </w:tc>
        <w:tc>
          <w:tcPr>
            <w:tcW w:type="dxa" w:w="1368"/>
            <w:vAlign w:val="center"/>
          </w:tcPr>
          <w:p>
            <w:pPr>
              <w:spacing w:after="0"/>
            </w:pPr>
            <w:r/>
            <w:r>
              <w:rPr>
                <w:rFonts w:ascii="Aptos" w:hAnsi="Aptos"/>
                <w:b w:val="0"/>
                <w:sz w:val="15"/>
              </w:rPr>
              <w:t>120 m</w:t>
            </w:r>
          </w:p>
        </w:tc>
        <w:tc>
          <w:tcPr>
            <w:tcW w:type="dxa" w:w="3816"/>
            <w:vAlign w:val="center"/>
          </w:tcPr>
          <w:p>
            <w:pPr>
              <w:spacing w:after="0"/>
            </w:pPr>
            <w:r/>
            <w:r>
              <w:rPr>
                <w:rFonts w:ascii="Aptos" w:hAnsi="Aptos"/>
                <w:b w:val="0"/>
                <w:sz w:val="15"/>
              </w:rPr>
              <w:t>Distance component for rear/front scoring.</w:t>
            </w:r>
          </w:p>
        </w:tc>
        <w:tc>
          <w:tcPr>
            <w:tcW w:type="dxa" w:w="3312"/>
            <w:vAlign w:val="center"/>
          </w:tcPr>
          <w:p>
            <w:pPr>
              <w:spacing w:after="0"/>
            </w:pPr>
            <w:r/>
            <w:r>
              <w:rPr>
                <w:rFonts w:ascii="Aptos" w:hAnsi="Aptos"/>
                <w:b w:val="0"/>
                <w:sz w:val="15"/>
              </w:rPr>
              <w:t>Increase for large rural plots; decrease in dense terraces.</w:t>
            </w:r>
          </w:p>
        </w:tc>
      </w:tr>
      <w:tr>
        <w:trPr>
          <w:cantSplit/>
        </w:trPr>
        <w:tc>
          <w:tcPr>
            <w:tcW w:type="dxa" w:w="2520"/>
            <w:vAlign w:val="center"/>
          </w:tcPr>
          <w:p>
            <w:pPr>
              <w:spacing w:after="0"/>
            </w:pPr>
            <w:r/>
            <w:r>
              <w:rPr>
                <w:rFonts w:ascii="Aptos" w:hAnsi="Aptos"/>
                <w:b w:val="0"/>
                <w:sz w:val="15"/>
              </w:rPr>
              <w:t>opposite_distance_scale_m</w:t>
            </w:r>
          </w:p>
        </w:tc>
        <w:tc>
          <w:tcPr>
            <w:tcW w:type="dxa" w:w="1368"/>
            <w:vAlign w:val="center"/>
          </w:tcPr>
          <w:p>
            <w:pPr>
              <w:spacing w:after="0"/>
            </w:pPr>
            <w:r/>
            <w:r>
              <w:rPr>
                <w:rFonts w:ascii="Aptos" w:hAnsi="Aptos"/>
                <w:b w:val="0"/>
                <w:sz w:val="15"/>
              </w:rPr>
              <w:t>120 m</w:t>
            </w:r>
          </w:p>
        </w:tc>
        <w:tc>
          <w:tcPr>
            <w:tcW w:type="dxa" w:w="3816"/>
            <w:vAlign w:val="center"/>
          </w:tcPr>
          <w:p>
            <w:pPr>
              <w:spacing w:after="0"/>
            </w:pPr>
            <w:r/>
            <w:r>
              <w:rPr>
                <w:rFonts w:ascii="Aptos" w:hAnsi="Aptos"/>
                <w:b w:val="0"/>
                <w:sz w:val="15"/>
              </w:rPr>
              <w:t>Distance component for opposite scoring.</w:t>
            </w:r>
          </w:p>
        </w:tc>
        <w:tc>
          <w:tcPr>
            <w:tcW w:type="dxa" w:w="3312"/>
            <w:vAlign w:val="center"/>
          </w:tcPr>
          <w:p>
            <w:pPr>
              <w:spacing w:after="0"/>
            </w:pPr>
            <w:r/>
            <w:r>
              <w:rPr>
                <w:rFonts w:ascii="Aptos" w:hAnsi="Aptos"/>
                <w:b w:val="0"/>
                <w:sz w:val="15"/>
              </w:rPr>
              <w:t>Tune using known opposite-road examples.</w:t>
            </w:r>
          </w:p>
        </w:tc>
      </w:tr>
      <w:tr>
        <w:trPr>
          <w:cantSplit/>
        </w:trPr>
        <w:tc>
          <w:tcPr>
            <w:tcW w:type="dxa" w:w="2520"/>
            <w:vAlign w:val="center"/>
          </w:tcPr>
          <w:p>
            <w:pPr>
              <w:spacing w:after="0"/>
            </w:pPr>
            <w:r/>
            <w:r>
              <w:rPr>
                <w:rFonts w:ascii="Aptos" w:hAnsi="Aptos"/>
                <w:b w:val="0"/>
                <w:sz w:val="15"/>
              </w:rPr>
              <w:t>nearest_road_search_m</w:t>
            </w:r>
          </w:p>
        </w:tc>
        <w:tc>
          <w:tcPr>
            <w:tcW w:type="dxa" w:w="1368"/>
            <w:vAlign w:val="center"/>
          </w:tcPr>
          <w:p>
            <w:pPr>
              <w:spacing w:after="0"/>
            </w:pPr>
            <w:r/>
            <w:r>
              <w:rPr>
                <w:rFonts w:ascii="Aptos" w:hAnsi="Aptos"/>
                <w:b w:val="0"/>
                <w:sz w:val="15"/>
              </w:rPr>
              <w:t>150 m</w:t>
            </w:r>
          </w:p>
        </w:tc>
        <w:tc>
          <w:tcPr>
            <w:tcW w:type="dxa" w:w="3816"/>
            <w:vAlign w:val="center"/>
          </w:tcPr>
          <w:p>
            <w:pPr>
              <w:spacing w:after="0"/>
            </w:pPr>
            <w:r/>
            <w:r>
              <w:rPr>
                <w:rFonts w:ascii="Aptos" w:hAnsi="Aptos"/>
                <w:b w:val="0"/>
                <w:sz w:val="15"/>
              </w:rPr>
              <w:t>Radius to find a road for rear/front/opposite heuristics.</w:t>
            </w:r>
          </w:p>
        </w:tc>
        <w:tc>
          <w:tcPr>
            <w:tcW w:type="dxa" w:w="3312"/>
            <w:vAlign w:val="center"/>
          </w:tcPr>
          <w:p>
            <w:pPr>
              <w:spacing w:after="0"/>
            </w:pPr>
            <w:r/>
            <w:r>
              <w:rPr>
                <w:rFonts w:ascii="Aptos" w:hAnsi="Aptos"/>
                <w:b w:val="0"/>
                <w:sz w:val="15"/>
              </w:rPr>
              <w:t>Raise in rural locations; too high may choose the wrong road.</w:t>
            </w:r>
          </w:p>
        </w:tc>
      </w:tr>
      <w:tr>
        <w:trPr>
          <w:cantSplit/>
        </w:trPr>
        <w:tc>
          <w:tcPr>
            <w:tcW w:type="dxa" w:w="2520"/>
            <w:vAlign w:val="center"/>
          </w:tcPr>
          <w:p>
            <w:pPr>
              <w:spacing w:after="0"/>
            </w:pPr>
            <w:r/>
            <w:r>
              <w:rPr>
                <w:rFonts w:ascii="Aptos" w:hAnsi="Aptos"/>
                <w:b w:val="0"/>
                <w:sz w:val="15"/>
              </w:rPr>
              <w:t>relation_weights</w:t>
            </w:r>
          </w:p>
        </w:tc>
        <w:tc>
          <w:tcPr>
            <w:tcW w:type="dxa" w:w="1368"/>
            <w:vAlign w:val="center"/>
          </w:tcPr>
          <w:p>
            <w:pPr>
              <w:spacing w:after="0"/>
            </w:pPr>
            <w:r/>
            <w:r>
              <w:rPr>
                <w:rFonts w:ascii="Aptos" w:hAnsi="Aptos"/>
                <w:b w:val="0"/>
                <w:sz w:val="15"/>
              </w:rPr>
              <w:t>dictionary</w:t>
            </w:r>
          </w:p>
        </w:tc>
        <w:tc>
          <w:tcPr>
            <w:tcW w:type="dxa" w:w="3816"/>
            <w:vAlign w:val="center"/>
          </w:tcPr>
          <w:p>
            <w:pPr>
              <w:spacing w:after="0"/>
            </w:pPr>
            <w:r/>
            <w:r>
              <w:rPr>
                <w:rFonts w:ascii="Aptos" w:hAnsi="Aptos"/>
                <w:b w:val="0"/>
                <w:sz w:val="15"/>
              </w:rPr>
              <w:t>Relative evidence importance by phrase type.</w:t>
            </w:r>
          </w:p>
        </w:tc>
        <w:tc>
          <w:tcPr>
            <w:tcW w:type="dxa" w:w="3312"/>
            <w:vAlign w:val="center"/>
          </w:tcPr>
          <w:p>
            <w:pPr>
              <w:spacing w:after="0"/>
            </w:pPr>
            <w:r/>
            <w:r>
              <w:rPr>
                <w:rFonts w:ascii="Aptos" w:hAnsi="Aptos"/>
                <w:b w:val="0"/>
                <w:sz w:val="15"/>
              </w:rPr>
              <w:t>Learn/tune from labelled cases; bounded/adjacent should usually outweigh vague near.</w:t>
            </w:r>
          </w:p>
        </w:tc>
      </w:tr>
      <w:tr>
        <w:trPr>
          <w:cantSplit/>
        </w:trPr>
        <w:tc>
          <w:tcPr>
            <w:tcW w:type="dxa" w:w="2520"/>
            <w:vAlign w:val="center"/>
          </w:tcPr>
          <w:p>
            <w:pPr>
              <w:spacing w:after="0"/>
            </w:pPr>
            <w:r/>
            <w:r>
              <w:rPr>
                <w:rFonts w:ascii="Aptos" w:hAnsi="Aptos"/>
                <w:b w:val="0"/>
                <w:sz w:val="15"/>
              </w:rPr>
              <w:t>required_contradiction_threshold</w:t>
            </w:r>
          </w:p>
        </w:tc>
        <w:tc>
          <w:tcPr>
            <w:tcW w:type="dxa" w:w="1368"/>
            <w:vAlign w:val="center"/>
          </w:tcPr>
          <w:p>
            <w:pPr>
              <w:spacing w:after="0"/>
            </w:pPr>
            <w:r/>
            <w:r>
              <w:rPr>
                <w:rFonts w:ascii="Aptos" w:hAnsi="Aptos"/>
                <w:b w:val="0"/>
                <w:sz w:val="15"/>
              </w:rPr>
              <w:t>0.12</w:t>
            </w:r>
          </w:p>
        </w:tc>
        <w:tc>
          <w:tcPr>
            <w:tcW w:type="dxa" w:w="3816"/>
            <w:vAlign w:val="center"/>
          </w:tcPr>
          <w:p>
            <w:pPr>
              <w:spacing w:after="0"/>
            </w:pPr>
            <w:r/>
            <w:r>
              <w:rPr>
                <w:rFonts w:ascii="Aptos" w:hAnsi="Aptos"/>
                <w:b w:val="0"/>
                <w:sz w:val="15"/>
              </w:rPr>
              <w:t>Very low required-relation score is called a contradiction.</w:t>
            </w:r>
          </w:p>
        </w:tc>
        <w:tc>
          <w:tcPr>
            <w:tcW w:type="dxa" w:w="3312"/>
            <w:vAlign w:val="center"/>
          </w:tcPr>
          <w:p>
            <w:pPr>
              <w:spacing w:after="0"/>
            </w:pPr>
            <w:r/>
            <w:r>
              <w:rPr>
                <w:rFonts w:ascii="Aptos" w:hAnsi="Aptos"/>
                <w:b w:val="0"/>
                <w:sz w:val="15"/>
              </w:rPr>
              <w:t>Raise only if required phrases are highly reliable and GIS relations are stable.</w:t>
            </w:r>
          </w:p>
        </w:tc>
      </w:tr>
      <w:tr>
        <w:trPr>
          <w:cantSplit/>
        </w:trPr>
        <w:tc>
          <w:tcPr>
            <w:tcW w:type="dxa" w:w="2520"/>
            <w:vAlign w:val="center"/>
          </w:tcPr>
          <w:p>
            <w:pPr>
              <w:spacing w:after="0"/>
            </w:pPr>
            <w:r/>
            <w:r>
              <w:rPr>
                <w:rFonts w:ascii="Aptos" w:hAnsi="Aptos"/>
                <w:b w:val="0"/>
                <w:sz w:val="15"/>
              </w:rPr>
              <w:t>required_contradiction_multiplier</w:t>
            </w:r>
          </w:p>
        </w:tc>
        <w:tc>
          <w:tcPr>
            <w:tcW w:type="dxa" w:w="1368"/>
            <w:vAlign w:val="center"/>
          </w:tcPr>
          <w:p>
            <w:pPr>
              <w:spacing w:after="0"/>
            </w:pPr>
            <w:r/>
            <w:r>
              <w:rPr>
                <w:rFonts w:ascii="Aptos" w:hAnsi="Aptos"/>
                <w:b w:val="0"/>
                <w:sz w:val="15"/>
              </w:rPr>
              <w:t>0.45</w:t>
            </w:r>
          </w:p>
        </w:tc>
        <w:tc>
          <w:tcPr>
            <w:tcW w:type="dxa" w:w="3816"/>
            <w:vAlign w:val="center"/>
          </w:tcPr>
          <w:p>
            <w:pPr>
              <w:spacing w:after="0"/>
            </w:pPr>
            <w:r/>
            <w:r>
              <w:rPr>
                <w:rFonts w:ascii="Aptos" w:hAnsi="Aptos"/>
                <w:b w:val="0"/>
                <w:sz w:val="15"/>
              </w:rPr>
              <w:t>Penalty applied to spatial score after required contradiction.</w:t>
            </w:r>
          </w:p>
        </w:tc>
        <w:tc>
          <w:tcPr>
            <w:tcW w:type="dxa" w:w="3312"/>
            <w:vAlign w:val="center"/>
          </w:tcPr>
          <w:p>
            <w:pPr>
              <w:spacing w:after="0"/>
            </w:pPr>
            <w:r/>
            <w:r>
              <w:rPr>
                <w:rFonts w:ascii="Aptos" w:hAnsi="Aptos"/>
                <w:b w:val="0"/>
                <w:sz w:val="15"/>
              </w:rPr>
              <w:t>Lower = harsher rejection; validate false-negative impact.</w:t>
            </w:r>
          </w:p>
        </w:tc>
      </w:tr>
    </w:tbl>
    <w:p>
      <w:pPr>
        <w:spacing w:after="20"/>
      </w:pPr>
    </w:p>
    <w:p>
      <w:pPr>
        <w:pStyle w:val="Heading2"/>
      </w:pPr>
      <w:r>
        <w:t>11.4 DecisionConfig</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20"/>
            <w:vAlign w:val="center"/>
            <w:shd w:fill="D9EAF7"/>
          </w:tcPr>
          <w:p>
            <w:pPr>
              <w:spacing w:after="0"/>
            </w:pPr>
            <w:r/>
            <w:r>
              <w:rPr>
                <w:rFonts w:ascii="Aptos" w:hAnsi="Aptos"/>
                <w:b/>
                <w:sz w:val="15"/>
              </w:rPr>
              <w:t>Parameter</w:t>
            </w:r>
          </w:p>
        </w:tc>
        <w:tc>
          <w:tcPr>
            <w:tcW w:type="dxa" w:w="1512"/>
            <w:vAlign w:val="center"/>
            <w:shd w:fill="D9EAF7"/>
          </w:tcPr>
          <w:p>
            <w:pPr>
              <w:spacing w:after="0"/>
            </w:pPr>
            <w:r/>
            <w:r>
              <w:rPr>
                <w:rFonts w:ascii="Aptos" w:hAnsi="Aptos"/>
                <w:b/>
                <w:sz w:val="15"/>
              </w:rPr>
              <w:t>Default</w:t>
            </w:r>
          </w:p>
        </w:tc>
        <w:tc>
          <w:tcPr>
            <w:tcW w:type="dxa" w:w="3816"/>
            <w:vAlign w:val="center"/>
            <w:shd w:fill="D9EAF7"/>
          </w:tcPr>
          <w:p>
            <w:pPr>
              <w:spacing w:after="0"/>
            </w:pPr>
            <w:r/>
            <w:r>
              <w:rPr>
                <w:rFonts w:ascii="Aptos" w:hAnsi="Aptos"/>
                <w:b/>
                <w:sz w:val="15"/>
              </w:rPr>
              <w:t>Meaning</w:t>
            </w:r>
          </w:p>
        </w:tc>
        <w:tc>
          <w:tcPr>
            <w:tcW w:type="dxa" w:w="3168"/>
            <w:vAlign w:val="center"/>
            <w:shd w:fill="D9EAF7"/>
          </w:tcPr>
          <w:p>
            <w:pPr>
              <w:spacing w:after="0"/>
            </w:pPr>
            <w:r/>
            <w:r>
              <w:rPr>
                <w:rFonts w:ascii="Aptos" w:hAnsi="Aptos"/>
                <w:b/>
                <w:sz w:val="15"/>
              </w:rPr>
              <w:t>Tuning guidance</w:t>
            </w:r>
          </w:p>
        </w:tc>
      </w:tr>
      <w:tr>
        <w:trPr>
          <w:cantSplit/>
        </w:trPr>
        <w:tc>
          <w:tcPr>
            <w:tcW w:type="dxa" w:w="2520"/>
            <w:vAlign w:val="center"/>
          </w:tcPr>
          <w:p>
            <w:pPr>
              <w:spacing w:after="0"/>
            </w:pPr>
            <w:r/>
            <w:r>
              <w:rPr>
                <w:rFonts w:ascii="Aptos" w:hAnsi="Aptos"/>
                <w:b w:val="0"/>
                <w:sz w:val="15"/>
              </w:rPr>
              <w:t>spatial_weight</w:t>
            </w:r>
          </w:p>
        </w:tc>
        <w:tc>
          <w:tcPr>
            <w:tcW w:type="dxa" w:w="1512"/>
            <w:vAlign w:val="center"/>
          </w:tcPr>
          <w:p>
            <w:pPr>
              <w:spacing w:after="0"/>
            </w:pPr>
            <w:r/>
            <w:r>
              <w:rPr>
                <w:rFonts w:ascii="Aptos" w:hAnsi="Aptos"/>
                <w:b w:val="0"/>
                <w:sz w:val="15"/>
              </w:rPr>
              <w:t>0.52</w:t>
            </w:r>
          </w:p>
        </w:tc>
        <w:tc>
          <w:tcPr>
            <w:tcW w:type="dxa" w:w="3816"/>
            <w:vAlign w:val="center"/>
          </w:tcPr>
          <w:p>
            <w:pPr>
              <w:spacing w:after="0"/>
            </w:pPr>
            <w:r/>
            <w:r>
              <w:rPr>
                <w:rFonts w:ascii="Aptos" w:hAnsi="Aptos"/>
                <w:b w:val="0"/>
                <w:sz w:val="15"/>
              </w:rPr>
              <w:t>Weight of deterministic GIS relation evidence.</w:t>
            </w:r>
          </w:p>
        </w:tc>
        <w:tc>
          <w:tcPr>
            <w:tcW w:type="dxa" w:w="3168"/>
            <w:vAlign w:val="center"/>
          </w:tcPr>
          <w:p>
            <w:pPr>
              <w:spacing w:after="0"/>
            </w:pPr>
            <w:r/>
            <w:r>
              <w:rPr>
                <w:rFonts w:ascii="Aptos" w:hAnsi="Aptos"/>
                <w:b w:val="0"/>
                <w:sz w:val="15"/>
              </w:rPr>
              <w:t>Keep largest unless labelled data proves otherwise.</w:t>
            </w:r>
          </w:p>
        </w:tc>
      </w:tr>
      <w:tr>
        <w:trPr>
          <w:cantSplit/>
        </w:trPr>
        <w:tc>
          <w:tcPr>
            <w:tcW w:type="dxa" w:w="2520"/>
            <w:vAlign w:val="center"/>
          </w:tcPr>
          <w:p>
            <w:pPr>
              <w:spacing w:after="0"/>
            </w:pPr>
            <w:r/>
            <w:r>
              <w:rPr>
                <w:rFonts w:ascii="Aptos" w:hAnsi="Aptos"/>
                <w:b w:val="0"/>
                <w:sz w:val="15"/>
              </w:rPr>
              <w:t>anchor_hypothesis_weight</w:t>
            </w:r>
          </w:p>
        </w:tc>
        <w:tc>
          <w:tcPr>
            <w:tcW w:type="dxa" w:w="1512"/>
            <w:vAlign w:val="center"/>
          </w:tcPr>
          <w:p>
            <w:pPr>
              <w:spacing w:after="0"/>
            </w:pPr>
            <w:r/>
            <w:r>
              <w:rPr>
                <w:rFonts w:ascii="Aptos" w:hAnsi="Aptos"/>
                <w:b w:val="0"/>
                <w:sz w:val="15"/>
              </w:rPr>
              <w:t>0.20</w:t>
            </w:r>
          </w:p>
        </w:tc>
        <w:tc>
          <w:tcPr>
            <w:tcW w:type="dxa" w:w="3816"/>
            <w:vAlign w:val="center"/>
          </w:tcPr>
          <w:p>
            <w:pPr>
              <w:spacing w:after="0"/>
            </w:pPr>
            <w:r/>
            <w:r>
              <w:rPr>
                <w:rFonts w:ascii="Aptos" w:hAnsi="Aptos"/>
                <w:b w:val="0"/>
                <w:sz w:val="15"/>
              </w:rPr>
              <w:t>Weight of confidence in the selected anchor combination.</w:t>
            </w:r>
          </w:p>
        </w:tc>
        <w:tc>
          <w:tcPr>
            <w:tcW w:type="dxa" w:w="3168"/>
            <w:vAlign w:val="center"/>
          </w:tcPr>
          <w:p>
            <w:pPr>
              <w:spacing w:after="0"/>
            </w:pPr>
            <w:r/>
            <w:r>
              <w:rPr>
                <w:rFonts w:ascii="Aptos" w:hAnsi="Aptos"/>
                <w:b w:val="0"/>
                <w:sz w:val="15"/>
              </w:rPr>
              <w:t>Raise if wrong-town/duplicate-address errors dominate.</w:t>
            </w:r>
          </w:p>
        </w:tc>
      </w:tr>
      <w:tr>
        <w:trPr>
          <w:cantSplit/>
        </w:trPr>
        <w:tc>
          <w:tcPr>
            <w:tcW w:type="dxa" w:w="2520"/>
            <w:vAlign w:val="center"/>
          </w:tcPr>
          <w:p>
            <w:pPr>
              <w:spacing w:after="0"/>
            </w:pPr>
            <w:r/>
            <w:r>
              <w:rPr>
                <w:rFonts w:ascii="Aptos" w:hAnsi="Aptos"/>
                <w:b w:val="0"/>
                <w:sz w:val="15"/>
              </w:rPr>
              <w:t>semantic_weight</w:t>
            </w:r>
          </w:p>
        </w:tc>
        <w:tc>
          <w:tcPr>
            <w:tcW w:type="dxa" w:w="1512"/>
            <w:vAlign w:val="center"/>
          </w:tcPr>
          <w:p>
            <w:pPr>
              <w:spacing w:after="0"/>
            </w:pPr>
            <w:r/>
            <w:r>
              <w:rPr>
                <w:rFonts w:ascii="Aptos" w:hAnsi="Aptos"/>
                <w:b w:val="0"/>
                <w:sz w:val="15"/>
              </w:rPr>
              <w:t>0.18</w:t>
            </w:r>
          </w:p>
        </w:tc>
        <w:tc>
          <w:tcPr>
            <w:tcW w:type="dxa" w:w="3816"/>
            <w:vAlign w:val="center"/>
          </w:tcPr>
          <w:p>
            <w:pPr>
              <w:spacing w:after="0"/>
            </w:pPr>
            <w:r/>
            <w:r>
              <w:rPr>
                <w:rFonts w:ascii="Aptos" w:hAnsi="Aptos"/>
                <w:b w:val="0"/>
                <w:sz w:val="15"/>
              </w:rPr>
              <w:t>Weight of LLM semantic consistency over real evidence.</w:t>
            </w:r>
          </w:p>
        </w:tc>
        <w:tc>
          <w:tcPr>
            <w:tcW w:type="dxa" w:w="3168"/>
            <w:vAlign w:val="center"/>
          </w:tcPr>
          <w:p>
            <w:pPr>
              <w:spacing w:after="0"/>
            </w:pPr>
            <w:r/>
            <w:r>
              <w:rPr>
                <w:rFonts w:ascii="Aptos" w:hAnsi="Aptos"/>
                <w:b w:val="0"/>
                <w:sz w:val="15"/>
              </w:rPr>
              <w:t>Do not let this dominate deterministic geography.</w:t>
            </w:r>
          </w:p>
        </w:tc>
      </w:tr>
      <w:tr>
        <w:trPr>
          <w:cantSplit/>
        </w:trPr>
        <w:tc>
          <w:tcPr>
            <w:tcW w:type="dxa" w:w="2520"/>
            <w:vAlign w:val="center"/>
          </w:tcPr>
          <w:p>
            <w:pPr>
              <w:spacing w:after="0"/>
            </w:pPr>
            <w:r/>
            <w:r>
              <w:rPr>
                <w:rFonts w:ascii="Aptos" w:hAnsi="Aptos"/>
                <w:b w:val="0"/>
                <w:sz w:val="15"/>
              </w:rPr>
              <w:t>evidence_coverage_weight</w:t>
            </w:r>
          </w:p>
        </w:tc>
        <w:tc>
          <w:tcPr>
            <w:tcW w:type="dxa" w:w="1512"/>
            <w:vAlign w:val="center"/>
          </w:tcPr>
          <w:p>
            <w:pPr>
              <w:spacing w:after="0"/>
            </w:pPr>
            <w:r/>
            <w:r>
              <w:rPr>
                <w:rFonts w:ascii="Aptos" w:hAnsi="Aptos"/>
                <w:b w:val="0"/>
                <w:sz w:val="15"/>
              </w:rPr>
              <w:t>0.10</w:t>
            </w:r>
          </w:p>
        </w:tc>
        <w:tc>
          <w:tcPr>
            <w:tcW w:type="dxa" w:w="3816"/>
            <w:vAlign w:val="center"/>
          </w:tcPr>
          <w:p>
            <w:pPr>
              <w:spacing w:after="0"/>
            </w:pPr>
            <w:r/>
            <w:r>
              <w:rPr>
                <w:rFonts w:ascii="Aptos" w:hAnsi="Aptos"/>
                <w:b w:val="0"/>
                <w:sz w:val="15"/>
              </w:rPr>
              <w:t>Rewards candidates where more stated clues were actually testable.</w:t>
            </w:r>
          </w:p>
        </w:tc>
        <w:tc>
          <w:tcPr>
            <w:tcW w:type="dxa" w:w="3168"/>
            <w:vAlign w:val="center"/>
          </w:tcPr>
          <w:p>
            <w:pPr>
              <w:spacing w:after="0"/>
            </w:pPr>
            <w:r/>
            <w:r>
              <w:rPr>
                <w:rFonts w:ascii="Aptos" w:hAnsi="Aptos"/>
                <w:b w:val="0"/>
                <w:sz w:val="15"/>
              </w:rPr>
              <w:t>Raise if sparse evidence is producing false MATCHED results.</w:t>
            </w:r>
          </w:p>
        </w:tc>
      </w:tr>
      <w:tr>
        <w:trPr>
          <w:cantSplit/>
        </w:trPr>
        <w:tc>
          <w:tcPr>
            <w:tcW w:type="dxa" w:w="2520"/>
            <w:vAlign w:val="center"/>
          </w:tcPr>
          <w:p>
            <w:pPr>
              <w:spacing w:after="0"/>
            </w:pPr>
            <w:r/>
            <w:r>
              <w:rPr>
                <w:rFonts w:ascii="Aptos" w:hAnsi="Aptos"/>
                <w:b w:val="0"/>
                <w:sz w:val="15"/>
              </w:rPr>
              <w:t>matched_threshold</w:t>
            </w:r>
          </w:p>
        </w:tc>
        <w:tc>
          <w:tcPr>
            <w:tcW w:type="dxa" w:w="1512"/>
            <w:vAlign w:val="center"/>
          </w:tcPr>
          <w:p>
            <w:pPr>
              <w:spacing w:after="0"/>
            </w:pPr>
            <w:r/>
            <w:r>
              <w:rPr>
                <w:rFonts w:ascii="Aptos" w:hAnsi="Aptos"/>
                <w:b w:val="0"/>
                <w:sz w:val="15"/>
              </w:rPr>
              <w:t>0.78</w:t>
            </w:r>
          </w:p>
        </w:tc>
        <w:tc>
          <w:tcPr>
            <w:tcW w:type="dxa" w:w="3816"/>
            <w:vAlign w:val="center"/>
          </w:tcPr>
          <w:p>
            <w:pPr>
              <w:spacing w:after="0"/>
            </w:pPr>
            <w:r/>
            <w:r>
              <w:rPr>
                <w:rFonts w:ascii="Aptos" w:hAnsi="Aptos"/>
                <w:b w:val="0"/>
                <w:sz w:val="15"/>
              </w:rPr>
              <w:t>Minimum final score before MATCHED is possible.</w:t>
            </w:r>
          </w:p>
        </w:tc>
        <w:tc>
          <w:tcPr>
            <w:tcW w:type="dxa" w:w="3168"/>
            <w:vAlign w:val="center"/>
          </w:tcPr>
          <w:p>
            <w:pPr>
              <w:spacing w:after="0"/>
            </w:pPr>
            <w:r/>
            <w:r>
              <w:rPr>
                <w:rFonts w:ascii="Aptos" w:hAnsi="Aptos"/>
                <w:b w:val="0"/>
                <w:sz w:val="15"/>
              </w:rPr>
              <w:t>Raise to reduce false positives; lower only after calibration shows safe headroom.</w:t>
            </w:r>
          </w:p>
        </w:tc>
      </w:tr>
      <w:tr>
        <w:trPr>
          <w:cantSplit/>
        </w:trPr>
        <w:tc>
          <w:tcPr>
            <w:tcW w:type="dxa" w:w="2520"/>
            <w:vAlign w:val="center"/>
          </w:tcPr>
          <w:p>
            <w:pPr>
              <w:spacing w:after="0"/>
            </w:pPr>
            <w:r/>
            <w:r>
              <w:rPr>
                <w:rFonts w:ascii="Aptos" w:hAnsi="Aptos"/>
                <w:b w:val="0"/>
                <w:sz w:val="15"/>
              </w:rPr>
              <w:t>minimum_candidate_threshold</w:t>
            </w:r>
          </w:p>
        </w:tc>
        <w:tc>
          <w:tcPr>
            <w:tcW w:type="dxa" w:w="1512"/>
            <w:vAlign w:val="center"/>
          </w:tcPr>
          <w:p>
            <w:pPr>
              <w:spacing w:after="0"/>
            </w:pPr>
            <w:r/>
            <w:r>
              <w:rPr>
                <w:rFonts w:ascii="Aptos" w:hAnsi="Aptos"/>
                <w:b w:val="0"/>
                <w:sz w:val="15"/>
              </w:rPr>
              <w:t>0.45</w:t>
            </w:r>
          </w:p>
        </w:tc>
        <w:tc>
          <w:tcPr>
            <w:tcW w:type="dxa" w:w="3816"/>
            <w:vAlign w:val="center"/>
          </w:tcPr>
          <w:p>
            <w:pPr>
              <w:spacing w:after="0"/>
            </w:pPr>
            <w:r/>
            <w:r>
              <w:rPr>
                <w:rFonts w:ascii="Aptos" w:hAnsi="Aptos"/>
                <w:b w:val="0"/>
                <w:sz w:val="15"/>
              </w:rPr>
              <w:t>Below this, even the best candidate becomes UNRESOLVED.</w:t>
            </w:r>
          </w:p>
        </w:tc>
        <w:tc>
          <w:tcPr>
            <w:tcW w:type="dxa" w:w="3168"/>
            <w:vAlign w:val="center"/>
          </w:tcPr>
          <w:p>
            <w:pPr>
              <w:spacing w:after="0"/>
            </w:pPr>
            <w:r/>
            <w:r>
              <w:rPr>
                <w:rFonts w:ascii="Aptos" w:hAnsi="Aptos"/>
                <w:b w:val="0"/>
                <w:sz w:val="15"/>
              </w:rPr>
              <w:t>Raise if low-quality candidates are cluttering output.</w:t>
            </w:r>
          </w:p>
        </w:tc>
      </w:tr>
      <w:tr>
        <w:trPr>
          <w:cantSplit/>
        </w:trPr>
        <w:tc>
          <w:tcPr>
            <w:tcW w:type="dxa" w:w="2520"/>
            <w:vAlign w:val="center"/>
          </w:tcPr>
          <w:p>
            <w:pPr>
              <w:spacing w:after="0"/>
            </w:pPr>
            <w:r/>
            <w:r>
              <w:rPr>
                <w:rFonts w:ascii="Aptos" w:hAnsi="Aptos"/>
                <w:b w:val="0"/>
                <w:sz w:val="15"/>
              </w:rPr>
              <w:t>minimum_winner_margin</w:t>
            </w:r>
          </w:p>
        </w:tc>
        <w:tc>
          <w:tcPr>
            <w:tcW w:type="dxa" w:w="1512"/>
            <w:vAlign w:val="center"/>
          </w:tcPr>
          <w:p>
            <w:pPr>
              <w:spacing w:after="0"/>
            </w:pPr>
            <w:r/>
            <w:r>
              <w:rPr>
                <w:rFonts w:ascii="Aptos" w:hAnsi="Aptos"/>
                <w:b w:val="0"/>
                <w:sz w:val="15"/>
              </w:rPr>
              <w:t>0.08</w:t>
            </w:r>
          </w:p>
        </w:tc>
        <w:tc>
          <w:tcPr>
            <w:tcW w:type="dxa" w:w="3816"/>
            <w:vAlign w:val="center"/>
          </w:tcPr>
          <w:p>
            <w:pPr>
              <w:spacing w:after="0"/>
            </w:pPr>
            <w:r/>
            <w:r>
              <w:rPr>
                <w:rFonts w:ascii="Aptos" w:hAnsi="Aptos"/>
                <w:b w:val="0"/>
                <w:sz w:val="15"/>
              </w:rPr>
              <w:t>Best candidate must beat runner-up by this amount.</w:t>
            </w:r>
          </w:p>
        </w:tc>
        <w:tc>
          <w:tcPr>
            <w:tcW w:type="dxa" w:w="3168"/>
            <w:vAlign w:val="center"/>
          </w:tcPr>
          <w:p>
            <w:pPr>
              <w:spacing w:after="0"/>
            </w:pPr>
            <w:r/>
            <w:r>
              <w:rPr>
                <w:rFonts w:ascii="Aptos" w:hAnsi="Aptos"/>
                <w:b w:val="0"/>
                <w:sz w:val="15"/>
              </w:rPr>
              <w:t>Raise when duplicate/near-tied candidates are frequently wrong; lowers auto-match rate.</w:t>
            </w:r>
          </w:p>
        </w:tc>
      </w:tr>
      <w:tr>
        <w:trPr>
          <w:cantSplit/>
        </w:trPr>
        <w:tc>
          <w:tcPr>
            <w:tcW w:type="dxa" w:w="2520"/>
            <w:vAlign w:val="center"/>
          </w:tcPr>
          <w:p>
            <w:pPr>
              <w:spacing w:after="0"/>
            </w:pPr>
            <w:r/>
            <w:r>
              <w:rPr>
                <w:rFonts w:ascii="Aptos" w:hAnsi="Aptos"/>
                <w:b w:val="0"/>
                <w:sz w:val="15"/>
              </w:rPr>
              <w:t>confidence_* weights</w:t>
            </w:r>
          </w:p>
        </w:tc>
        <w:tc>
          <w:tcPr>
            <w:tcW w:type="dxa" w:w="1512"/>
            <w:vAlign w:val="center"/>
          </w:tcPr>
          <w:p>
            <w:pPr>
              <w:spacing w:after="0"/>
            </w:pPr>
            <w:r/>
            <w:r>
              <w:rPr>
                <w:rFonts w:ascii="Aptos" w:hAnsi="Aptos"/>
                <w:b w:val="0"/>
                <w:sz w:val="15"/>
              </w:rPr>
              <w:t>0.65/0.20/0.15</w:t>
            </w:r>
          </w:p>
        </w:tc>
        <w:tc>
          <w:tcPr>
            <w:tcW w:type="dxa" w:w="3816"/>
            <w:vAlign w:val="center"/>
          </w:tcPr>
          <w:p>
            <w:pPr>
              <w:spacing w:after="0"/>
            </w:pPr>
            <w:r/>
            <w:r>
              <w:rPr>
                <w:rFonts w:ascii="Aptos" w:hAnsi="Aptos"/>
                <w:b w:val="0"/>
                <w:sz w:val="15"/>
              </w:rPr>
              <w:t>Build confidence from best score, margin and coverage.</w:t>
            </w:r>
          </w:p>
        </w:tc>
        <w:tc>
          <w:tcPr>
            <w:tcW w:type="dxa" w:w="3168"/>
            <w:vAlign w:val="center"/>
          </w:tcPr>
          <w:p>
            <w:pPr>
              <w:spacing w:after="0"/>
            </w:pPr>
            <w:r/>
            <w:r>
              <w:rPr>
                <w:rFonts w:ascii="Aptos" w:hAnsi="Aptos"/>
                <w:b w:val="0"/>
                <w:sz w:val="15"/>
              </w:rPr>
              <w:t>Treat as calibration knobs, not geography knobs.</w:t>
            </w:r>
          </w:p>
        </w:tc>
      </w:tr>
    </w:tbl>
    <w:p>
      <w:pPr>
        <w:spacing w:after="20"/>
      </w:pPr>
    </w:p>
    <w:p>
      <w:pPr>
        <w:pStyle w:val="Heading1"/>
      </w:pPr>
      <w:r>
        <w:t>12. Accuracy, validation and calibration</w:t>
      </w:r>
    </w:p>
    <w:p>
      <w:pPr>
        <w:spacing w:after="100" w:line="259" w:lineRule="auto"/>
      </w:pPr>
      <w:r>
        <w:t>The code can be engineered carefully, but accuracy must be measured on your own description distribution. Build a labelled set containing real examples and the expected geographic outcome. Include difficult cases deliberately, not only easy addresses.</w:t>
      </w:r>
    </w:p>
    <w:p>
      <w:pPr>
        <w:pStyle w:val="ListBullet"/>
        <w:spacing w:after="40"/>
      </w:pPr>
      <w:r>
        <w:t>Anchor top-1 accuracy and anchor top-k recall.</w:t>
      </w:r>
    </w:p>
    <w:p>
      <w:pPr>
        <w:pStyle w:val="ListBullet"/>
        <w:spacing w:after="40"/>
      </w:pPr>
      <w:r>
        <w:t>Final INSPIRE top-1 accuracy and top-3 recall.</w:t>
      </w:r>
    </w:p>
    <w:p>
      <w:pPr>
        <w:pStyle w:val="ListBullet"/>
        <w:spacing w:after="40"/>
      </w:pPr>
      <w:r>
        <w:t>False MATCHED rate (the critical safety metric for zero-human operation).</w:t>
      </w:r>
    </w:p>
    <w:p>
      <w:pPr>
        <w:pStyle w:val="ListBullet"/>
        <w:spacing w:after="40"/>
      </w:pPr>
      <w:r>
        <w:t>MULTIPLE_CANDIDATES and UNRESOLVED rate.</w:t>
      </w:r>
    </w:p>
    <w:p>
      <w:pPr>
        <w:pStyle w:val="ListBullet"/>
        <w:spacing w:after="40"/>
      </w:pPr>
      <w:r>
        <w:t>Performance by relation type: adjacent, between, rear/front, bounded-by, opposite, direction.</w:t>
      </w:r>
    </w:p>
    <w:p>
      <w:pPr>
        <w:pStyle w:val="ListBullet"/>
        <w:spacing w:after="40"/>
      </w:pPr>
      <w:r>
        <w:t>Performance by environment: dense urban, suburban, rural, Wales/bilingual naming, named farms/cottages.</w:t>
      </w:r>
    </w:p>
    <w:p>
      <w:pPr>
        <w:pStyle w:val="ListBullet"/>
        <w:spacing w:after="40"/>
      </w:pPr>
      <w:r>
        <w:t>Confidence calibration and winner-margin behaviour.</w:t>
      </w:r>
    </w:p>
    <w:p>
      <w:pPr>
        <w:spacing w:after="100" w:line="259" w:lineRule="auto"/>
      </w:pPr>
      <w:r>
        <w:t>A useful tuning principle is to optimise for the business cost of a false match versus an unresolved result. If a false match is expensive, keep the matched threshold and winner margin conservative even if that increases UNRESOLVED output.</w:t>
      </w:r>
    </w:p>
    <w:p>
      <w:pPr>
        <w:pStyle w:val="Heading1"/>
      </w:pPr>
      <w:r>
        <w:t>13. Deployment in SageMaker</w:t>
      </w:r>
    </w:p>
    <w:p>
      <w:pPr>
        <w:pStyle w:val="ListNumber"/>
        <w:spacing w:after="40"/>
      </w:pPr>
      <w:r>
        <w:t>Run the one-time preprocessing/index build as a SageMaker Processing job with enough EBS storage for the raw OS/HMLR files.</w:t>
      </w:r>
    </w:p>
    <w:p>
      <w:pPr>
        <w:pStyle w:val="ListNumber"/>
        <w:spacing w:after="40"/>
      </w:pPr>
      <w:r>
        <w:t>Write canonical Parquet/GeoParquet partitions to S3. Keep raw snapshots by release date so indexes are reproducible.</w:t>
      </w:r>
    </w:p>
    <w:p>
      <w:pPr>
        <w:pStyle w:val="ListNumber"/>
        <w:spacing w:after="40"/>
      </w:pPr>
      <w:r>
        <w:t>Store Azure OpenAI credentials in AWS Secrets Manager or inject them as environment variables; do not hard-code them in the notebook.</w:t>
      </w:r>
    </w:p>
    <w:p>
      <w:pPr>
        <w:pStyle w:val="ListNumber"/>
        <w:spacing w:after="40"/>
      </w:pPr>
      <w:r>
        <w:t>Run batch geolocation from a SageMaker Processing job or notebook using process_dataframe(). One record failure does not stop the batch.</w:t>
      </w:r>
    </w:p>
    <w:p>
      <w:pPr>
        <w:pStyle w:val="ListNumber"/>
        <w:spacing w:after="40"/>
      </w:pPr>
      <w:r>
        <w:t>Write one JSON result per record plus a compact Parquet summary. Preserve the parsed description and evidence for audit/debugging.</w:t>
      </w:r>
    </w:p>
    <w:p>
      <w:pPr>
        <w:pStyle w:val="ListNumber"/>
        <w:spacing w:after="40"/>
      </w:pPr>
      <w:r>
        <w:t>Refresh AddressBase/OS/HMLR data on the cadence required by your product and rebuild/compact affected index partitions.</w:t>
      </w:r>
    </w:p>
    <w:p>
      <w:pPr>
        <w:pStyle w:val="Heading1"/>
      </w:pPr>
      <w:r>
        <w:t>14. Failure modes and worst-case behaviour</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vAlign w:val="center"/>
            <w:shd w:fill="D9EAF7"/>
          </w:tcPr>
          <w:p>
            <w:pPr>
              <w:spacing w:after="0"/>
            </w:pPr>
            <w:r/>
            <w:r>
              <w:rPr>
                <w:rFonts w:ascii="Aptos" w:hAnsi="Aptos"/>
                <w:b/>
                <w:sz w:val="16"/>
              </w:rPr>
              <w:t>Situation</w:t>
            </w:r>
          </w:p>
        </w:tc>
        <w:tc>
          <w:tcPr>
            <w:tcW w:type="dxa" w:w="2232"/>
            <w:vAlign w:val="center"/>
            <w:shd w:fill="D9EAF7"/>
          </w:tcPr>
          <w:p>
            <w:pPr>
              <w:spacing w:after="0"/>
            </w:pPr>
            <w:r/>
            <w:r>
              <w:rPr>
                <w:rFonts w:ascii="Aptos" w:hAnsi="Aptos"/>
                <w:b/>
                <w:sz w:val="16"/>
              </w:rPr>
              <w:t>Machine behaviour</w:t>
            </w:r>
          </w:p>
        </w:tc>
        <w:tc>
          <w:tcPr>
            <w:tcW w:type="dxa" w:w="5472"/>
            <w:vAlign w:val="center"/>
            <w:shd w:fill="D9EAF7"/>
          </w:tcPr>
          <w:p>
            <w:pPr>
              <w:spacing w:after="0"/>
            </w:pPr>
            <w:r/>
            <w:r>
              <w:rPr>
                <w:rFonts w:ascii="Aptos" w:hAnsi="Aptos"/>
                <w:b/>
                <w:sz w:val="16"/>
              </w:rPr>
              <w:t>Reason</w:t>
            </w:r>
          </w:p>
        </w:tc>
      </w:tr>
      <w:tr>
        <w:trPr>
          <w:cantSplit/>
        </w:trPr>
        <w:tc>
          <w:tcPr>
            <w:tcW w:type="dxa" w:w="2880"/>
            <w:vAlign w:val="center"/>
          </w:tcPr>
          <w:p>
            <w:pPr>
              <w:spacing w:after="0"/>
            </w:pPr>
            <w:r/>
            <w:r>
              <w:rPr>
                <w:rFonts w:ascii="Aptos" w:hAnsi="Aptos"/>
                <w:b w:val="0"/>
                <w:sz w:val="16"/>
              </w:rPr>
              <w:t>No anchor resolves</w:t>
            </w:r>
          </w:p>
        </w:tc>
        <w:tc>
          <w:tcPr>
            <w:tcW w:type="dxa" w:w="2232"/>
            <w:vAlign w:val="center"/>
          </w:tcPr>
          <w:p>
            <w:pPr>
              <w:spacing w:after="0"/>
            </w:pPr>
            <w:r/>
            <w:r>
              <w:rPr>
                <w:rFonts w:ascii="Aptos" w:hAnsi="Aptos"/>
                <w:b w:val="0"/>
                <w:sz w:val="16"/>
              </w:rPr>
              <w:t>UNRESOLVED</w:t>
            </w:r>
          </w:p>
        </w:tc>
        <w:tc>
          <w:tcPr>
            <w:tcW w:type="dxa" w:w="5472"/>
            <w:vAlign w:val="center"/>
          </w:tcPr>
          <w:p>
            <w:pPr>
              <w:spacing w:after="0"/>
            </w:pPr>
            <w:r/>
            <w:r>
              <w:rPr>
                <w:rFonts w:ascii="Aptos" w:hAnsi="Aptos"/>
                <w:b w:val="0"/>
                <w:sz w:val="16"/>
              </w:rPr>
              <w:t>Do not ask LLM for coordinates. Record no geographic anchor could be resolved.</w:t>
            </w:r>
          </w:p>
        </w:tc>
      </w:tr>
      <w:tr>
        <w:trPr>
          <w:cantSplit/>
        </w:trPr>
        <w:tc>
          <w:tcPr>
            <w:tcW w:type="dxa" w:w="2880"/>
            <w:vAlign w:val="center"/>
          </w:tcPr>
          <w:p>
            <w:pPr>
              <w:spacing w:after="0"/>
            </w:pPr>
            <w:r/>
            <w:r>
              <w:rPr>
                <w:rFonts w:ascii="Aptos" w:hAnsi="Aptos"/>
                <w:b w:val="0"/>
                <w:sz w:val="16"/>
              </w:rPr>
              <w:t>One anchor resolves, others fail</w:t>
            </w:r>
          </w:p>
        </w:tc>
        <w:tc>
          <w:tcPr>
            <w:tcW w:type="dxa" w:w="2232"/>
            <w:vAlign w:val="center"/>
          </w:tcPr>
          <w:p>
            <w:pPr>
              <w:spacing w:after="0"/>
            </w:pPr>
            <w:r/>
            <w:r>
              <w:rPr>
                <w:rFonts w:ascii="Aptos" w:hAnsi="Aptos"/>
                <w:b w:val="0"/>
                <w:sz w:val="16"/>
              </w:rPr>
              <w:t>Continue cautiously</w:t>
            </w:r>
          </w:p>
        </w:tc>
        <w:tc>
          <w:tcPr>
            <w:tcW w:type="dxa" w:w="5472"/>
            <w:vAlign w:val="center"/>
          </w:tcPr>
          <w:p>
            <w:pPr>
              <w:spacing w:after="0"/>
            </w:pPr>
            <w:r/>
            <w:r>
              <w:rPr>
                <w:rFonts w:ascii="Aptos" w:hAnsi="Aptos"/>
                <w:b w:val="0"/>
                <w:sz w:val="16"/>
              </w:rPr>
              <w:t>Search locally from the good anchor; coverage/confidence fall.</w:t>
            </w:r>
          </w:p>
        </w:tc>
      </w:tr>
      <w:tr>
        <w:trPr>
          <w:cantSplit/>
        </w:trPr>
        <w:tc>
          <w:tcPr>
            <w:tcW w:type="dxa" w:w="2880"/>
            <w:vAlign w:val="center"/>
          </w:tcPr>
          <w:p>
            <w:pPr>
              <w:spacing w:after="0"/>
            </w:pPr>
            <w:r/>
            <w:r>
              <w:rPr>
                <w:rFonts w:ascii="Aptos" w:hAnsi="Aptos"/>
                <w:b w:val="0"/>
                <w:sz w:val="16"/>
              </w:rPr>
              <w:t>Several towns remain equally plausible</w:t>
            </w:r>
          </w:p>
        </w:tc>
        <w:tc>
          <w:tcPr>
            <w:tcW w:type="dxa" w:w="2232"/>
            <w:vAlign w:val="center"/>
          </w:tcPr>
          <w:p>
            <w:pPr>
              <w:spacing w:after="0"/>
            </w:pPr>
            <w:r/>
            <w:r>
              <w:rPr>
                <w:rFonts w:ascii="Aptos" w:hAnsi="Aptos"/>
                <w:b w:val="0"/>
                <w:sz w:val="16"/>
              </w:rPr>
              <w:t>MULTIPLE_CANDIDATES</w:t>
            </w:r>
          </w:p>
        </w:tc>
        <w:tc>
          <w:tcPr>
            <w:tcW w:type="dxa" w:w="5472"/>
            <w:vAlign w:val="center"/>
          </w:tcPr>
          <w:p>
            <w:pPr>
              <w:spacing w:after="0"/>
            </w:pPr>
            <w:r/>
            <w:r>
              <w:rPr>
                <w:rFonts w:ascii="Aptos" w:hAnsi="Aptos"/>
                <w:b w:val="0"/>
                <w:sz w:val="16"/>
              </w:rPr>
              <w:t>Keep multiple hypotheses and candidate polygons; winner-margin rule prevents forced match.</w:t>
            </w:r>
          </w:p>
        </w:tc>
      </w:tr>
      <w:tr>
        <w:trPr>
          <w:cantSplit/>
        </w:trPr>
        <w:tc>
          <w:tcPr>
            <w:tcW w:type="dxa" w:w="2880"/>
            <w:vAlign w:val="center"/>
          </w:tcPr>
          <w:p>
            <w:pPr>
              <w:spacing w:after="0"/>
            </w:pPr>
            <w:r/>
            <w:r>
              <w:rPr>
                <w:rFonts w:ascii="Aptos" w:hAnsi="Aptos"/>
                <w:b w:val="0"/>
                <w:sz w:val="16"/>
              </w:rPr>
              <w:t>No INSPIRE polygon near anchors</w:t>
            </w:r>
          </w:p>
        </w:tc>
        <w:tc>
          <w:tcPr>
            <w:tcW w:type="dxa" w:w="2232"/>
            <w:vAlign w:val="center"/>
          </w:tcPr>
          <w:p>
            <w:pPr>
              <w:spacing w:after="0"/>
            </w:pPr>
            <w:r/>
            <w:r>
              <w:rPr>
                <w:rFonts w:ascii="Aptos" w:hAnsi="Aptos"/>
                <w:b w:val="0"/>
                <w:sz w:val="16"/>
              </w:rPr>
              <w:t>UNRESOLVED</w:t>
            </w:r>
          </w:p>
        </w:tc>
        <w:tc>
          <w:tcPr>
            <w:tcW w:type="dxa" w:w="5472"/>
            <w:vAlign w:val="center"/>
          </w:tcPr>
          <w:p>
            <w:pPr>
              <w:spacing w:after="0"/>
            </w:pPr>
            <w:r/>
            <w:r>
              <w:rPr>
                <w:rFonts w:ascii="Aptos" w:hAnsi="Aptos"/>
                <w:b w:val="0"/>
                <w:sz w:val="16"/>
              </w:rPr>
              <w:t>Could be unregistered/leasehold/sub-parcel/incorrect anchor/data issue. Do not invent a polygon.</w:t>
            </w:r>
          </w:p>
        </w:tc>
      </w:tr>
      <w:tr>
        <w:trPr>
          <w:cantSplit/>
        </w:trPr>
        <w:tc>
          <w:tcPr>
            <w:tcW w:type="dxa" w:w="2880"/>
            <w:vAlign w:val="center"/>
          </w:tcPr>
          <w:p>
            <w:pPr>
              <w:spacing w:after="0"/>
            </w:pPr>
            <w:r/>
            <w:r>
              <w:rPr>
                <w:rFonts w:ascii="Aptos" w:hAnsi="Aptos"/>
                <w:b w:val="0"/>
                <w:sz w:val="16"/>
              </w:rPr>
              <w:t>Required relation contradicts candidate</w:t>
            </w:r>
          </w:p>
        </w:tc>
        <w:tc>
          <w:tcPr>
            <w:tcW w:type="dxa" w:w="2232"/>
            <w:vAlign w:val="center"/>
          </w:tcPr>
          <w:p>
            <w:pPr>
              <w:spacing w:after="0"/>
            </w:pPr>
            <w:r/>
            <w:r>
              <w:rPr>
                <w:rFonts w:ascii="Aptos" w:hAnsi="Aptos"/>
                <w:b w:val="0"/>
                <w:sz w:val="16"/>
              </w:rPr>
              <w:t>Strong penalty</w:t>
            </w:r>
          </w:p>
        </w:tc>
        <w:tc>
          <w:tcPr>
            <w:tcW w:type="dxa" w:w="5472"/>
            <w:vAlign w:val="center"/>
          </w:tcPr>
          <w:p>
            <w:pPr>
              <w:spacing w:after="0"/>
            </w:pPr>
            <w:r/>
            <w:r>
              <w:rPr>
                <w:rFonts w:ascii="Aptos" w:hAnsi="Aptos"/>
                <w:b w:val="0"/>
                <w:sz w:val="16"/>
              </w:rPr>
              <w:t>Candidate can still be listed, but should rarely become MATCHED.</w:t>
            </w:r>
          </w:p>
        </w:tc>
      </w:tr>
      <w:tr>
        <w:trPr>
          <w:cantSplit/>
        </w:trPr>
        <w:tc>
          <w:tcPr>
            <w:tcW w:type="dxa" w:w="2880"/>
            <w:vAlign w:val="center"/>
          </w:tcPr>
          <w:p>
            <w:pPr>
              <w:spacing w:after="0"/>
            </w:pPr>
            <w:r/>
            <w:r>
              <w:rPr>
                <w:rFonts w:ascii="Aptos" w:hAnsi="Aptos"/>
                <w:b w:val="0"/>
                <w:sz w:val="16"/>
              </w:rPr>
              <w:t>Road geometry unavailable for rear/opposite</w:t>
            </w:r>
          </w:p>
        </w:tc>
        <w:tc>
          <w:tcPr>
            <w:tcW w:type="dxa" w:w="2232"/>
            <w:vAlign w:val="center"/>
          </w:tcPr>
          <w:p>
            <w:pPr>
              <w:spacing w:after="0"/>
            </w:pPr>
            <w:r/>
            <w:r>
              <w:rPr>
                <w:rFonts w:ascii="Aptos" w:hAnsi="Aptos"/>
                <w:b w:val="0"/>
                <w:sz w:val="16"/>
              </w:rPr>
              <w:t>Unknown evidence</w:t>
            </w:r>
          </w:p>
        </w:tc>
        <w:tc>
          <w:tcPr>
            <w:tcW w:type="dxa" w:w="5472"/>
            <w:vAlign w:val="center"/>
          </w:tcPr>
          <w:p>
            <w:pPr>
              <w:spacing w:after="0"/>
            </w:pPr>
            <w:r/>
            <w:r>
              <w:rPr>
                <w:rFonts w:ascii="Aptos" w:hAnsi="Aptos"/>
                <w:b w:val="0"/>
                <w:sz w:val="16"/>
              </w:rPr>
              <w:t>Do not score it as false; lower evidence coverage.</w:t>
            </w:r>
          </w:p>
        </w:tc>
      </w:tr>
      <w:tr>
        <w:trPr>
          <w:cantSplit/>
        </w:trPr>
        <w:tc>
          <w:tcPr>
            <w:tcW w:type="dxa" w:w="2880"/>
            <w:vAlign w:val="center"/>
          </w:tcPr>
          <w:p>
            <w:pPr>
              <w:spacing w:after="0"/>
            </w:pPr>
            <w:r/>
            <w:r>
              <w:rPr>
                <w:rFonts w:ascii="Aptos" w:hAnsi="Aptos"/>
                <w:b w:val="0"/>
                <w:sz w:val="16"/>
              </w:rPr>
              <w:t>INSPIRE polygon contains both house and described land</w:t>
            </w:r>
          </w:p>
        </w:tc>
        <w:tc>
          <w:tcPr>
            <w:tcW w:type="dxa" w:w="2232"/>
            <w:vAlign w:val="center"/>
          </w:tcPr>
          <w:p>
            <w:pPr>
              <w:spacing w:after="0"/>
            </w:pPr>
            <w:r/>
            <w:r>
              <w:rPr>
                <w:rFonts w:ascii="Aptos" w:hAnsi="Aptos"/>
                <w:b w:val="0"/>
                <w:sz w:val="16"/>
              </w:rPr>
              <w:t>Approximate extent only</w:t>
            </w:r>
          </w:p>
        </w:tc>
        <w:tc>
          <w:tcPr>
            <w:tcW w:type="dxa" w:w="5472"/>
            <w:vAlign w:val="center"/>
          </w:tcPr>
          <w:p>
            <w:pPr>
              <w:spacing w:after="0"/>
            </w:pPr>
            <w:r/>
            <w:r>
              <w:rPr>
                <w:rFonts w:ascii="Aptos" w:hAnsi="Aptos"/>
                <w:b w:val="0"/>
                <w:sz w:val="16"/>
              </w:rPr>
              <w:t>The system may locate the registered freehold extent but cannot infer an exact sub-boundary from INSPIRE alone.</w:t>
            </w:r>
          </w:p>
        </w:tc>
      </w:tr>
      <w:tr>
        <w:trPr>
          <w:cantSplit/>
        </w:trPr>
        <w:tc>
          <w:tcPr>
            <w:tcW w:type="dxa" w:w="2880"/>
            <w:vAlign w:val="center"/>
          </w:tcPr>
          <w:p>
            <w:pPr>
              <w:spacing w:after="0"/>
            </w:pPr>
            <w:r/>
            <w:r>
              <w:rPr>
                <w:rFonts w:ascii="Aptos" w:hAnsi="Aptos"/>
                <w:b w:val="0"/>
                <w:sz w:val="16"/>
              </w:rPr>
              <w:t>Azure semantic call fails</w:t>
            </w:r>
          </w:p>
        </w:tc>
        <w:tc>
          <w:tcPr>
            <w:tcW w:type="dxa" w:w="2232"/>
            <w:vAlign w:val="center"/>
          </w:tcPr>
          <w:p>
            <w:pPr>
              <w:spacing w:after="0"/>
            </w:pPr>
            <w:r/>
            <w:r>
              <w:rPr>
                <w:rFonts w:ascii="Aptos" w:hAnsi="Aptos"/>
                <w:b w:val="0"/>
                <w:sz w:val="16"/>
              </w:rPr>
              <w:t>Deterministic fallback</w:t>
            </w:r>
          </w:p>
        </w:tc>
        <w:tc>
          <w:tcPr>
            <w:tcW w:type="dxa" w:w="5472"/>
            <w:vAlign w:val="center"/>
          </w:tcPr>
          <w:p>
            <w:pPr>
              <w:spacing w:after="0"/>
            </w:pPr>
            <w:r/>
            <w:r>
              <w:rPr>
                <w:rFonts w:ascii="Aptos" w:hAnsi="Aptos"/>
                <w:b w:val="0"/>
                <w:sz w:val="16"/>
              </w:rPr>
              <w:t>Pipeline continues using GIS/anchor evidence and records a warning.</w:t>
            </w:r>
          </w:p>
        </w:tc>
      </w:tr>
    </w:tbl>
    <w:p>
      <w:pPr>
        <w:spacing w:after="20"/>
      </w:pPr>
    </w:p>
    <w:p>
      <w:pPr>
        <w:pStyle w:val="Heading1"/>
      </w:pPr>
      <w:r>
        <w:t>15. Recommended next steps</w:t>
      </w:r>
    </w:p>
    <w:p>
      <w:pPr>
        <w:pStyle w:val="ListBullet"/>
        <w:spacing w:after="40"/>
      </w:pPr>
      <w:r>
        <w:t>Download/prepare a small geographic sample first (AddressBase Core + Open Names + street/road geometry + HMLR INSPIRE) and verify the canonical schemas.</w:t>
      </w:r>
    </w:p>
    <w:p>
      <w:pPr>
        <w:pStyle w:val="ListBullet"/>
        <w:spacing w:after="40"/>
      </w:pPr>
      <w:r>
        <w:t>Run the notebook preprocessing on the sample and inspect token/tile partitions.</w:t>
      </w:r>
    </w:p>
    <w:p>
      <w:pPr>
        <w:pStyle w:val="ListBullet"/>
        <w:spacing w:after="40"/>
      </w:pPr>
      <w:r>
        <w:t>Create 100-500 labelled descriptions covering easy and deliberately ambiguous cases.</w:t>
      </w:r>
    </w:p>
    <w:p>
      <w:pPr>
        <w:pStyle w:val="ListBullet"/>
        <w:spacing w:after="40"/>
      </w:pPr>
      <w:r>
        <w:t>Measure deterministic baseline with semantic_rerank=False, then enable parse verification/search variants/semantic reranking one at a time to measure their incremental benefit.</w:t>
      </w:r>
    </w:p>
    <w:p>
      <w:pPr>
        <w:pStyle w:val="ListBullet"/>
        <w:spacing w:after="40"/>
      </w:pPr>
      <w:r>
        <w:t>Only after the text-first accuracy is understood, decide whether location-plan vision is needed for the residual unresolved cases.</w:t>
      </w:r>
    </w:p>
    <w:p>
      <w:pPr>
        <w:pStyle w:val="ListBullet"/>
        <w:spacing w:after="40"/>
      </w:pPr>
      <w:r>
        <w:t>At production scale, compact many small Parquet files and monitor S3 bytes read, Azure calls per record, latency and false-match rate.</w:t>
      </w:r>
    </w:p>
    <w:p>
      <w:pPr>
        <w:pStyle w:val="Heading1"/>
      </w:pPr>
      <w:r>
        <w:t>16. Official references</w:t>
      </w:r>
    </w:p>
    <w:p>
      <w:pPr>
        <w:spacing w:after="100" w:line="259" w:lineRule="auto"/>
      </w:pPr>
      <w:r>
        <w:t>The following official sources were checked for the design and current API/data assumptions (18 August 2026):</w:t>
      </w:r>
    </w:p>
    <w:p>
      <w:pPr>
        <w:spacing w:after="60"/>
      </w:pPr>
      <w:r>
        <w:rPr>
          <w:b/>
        </w:rPr>
        <w:t xml:space="preserve">Microsoft Learn - Azure OpenAI structured outputs: </w:t>
      </w:r>
      <w:r>
        <w:rPr>
          <w:sz w:val="17"/>
        </w:rPr>
        <w:t>https://learn.microsoft.com/en-us/azure/foundry/openai/how-to/structured-outputs</w:t>
      </w:r>
    </w:p>
    <w:p>
      <w:pPr>
        <w:spacing w:after="60"/>
      </w:pPr>
      <w:r>
        <w:rPr>
          <w:b/>
        </w:rPr>
        <w:t xml:space="preserve">Microsoft Learn - Azure OpenAI Responses API: </w:t>
      </w:r>
      <w:r>
        <w:rPr>
          <w:sz w:val="17"/>
        </w:rPr>
        <w:t>https://learn.microsoft.com/en-us/azure/foundry/openai/how-to/responses</w:t>
      </w:r>
    </w:p>
    <w:p>
      <w:pPr>
        <w:spacing w:after="60"/>
      </w:pPr>
      <w:r>
        <w:rPr>
          <w:b/>
        </w:rPr>
        <w:t xml:space="preserve">Microsoft Learn - Azure OpenAI function calling: </w:t>
      </w:r>
      <w:r>
        <w:rPr>
          <w:sz w:val="17"/>
        </w:rPr>
        <w:t>https://learn.microsoft.com/en-us/azure/foundry/openai/how-to/function-calling</w:t>
      </w:r>
    </w:p>
    <w:p>
      <w:pPr>
        <w:spacing w:after="60"/>
      </w:pPr>
      <w:r>
        <w:rPr>
          <w:b/>
        </w:rPr>
        <w:t xml:space="preserve">Ordnance Survey - AddressBase Core documentation: </w:t>
      </w:r>
      <w:r>
        <w:rPr>
          <w:sz w:val="17"/>
        </w:rPr>
        <w:t>https://docs.os.uk/os-downloads/products/addresses-and-names-portfolio/addressbase-core</w:t>
      </w:r>
    </w:p>
    <w:p>
      <w:pPr>
        <w:spacing w:after="60"/>
      </w:pPr>
      <w:r>
        <w:rPr>
          <w:b/>
        </w:rPr>
        <w:t xml:space="preserve">Ordnance Survey - OS Open Names documentation: </w:t>
      </w:r>
      <w:r>
        <w:rPr>
          <w:sz w:val="17"/>
        </w:rPr>
        <w:t>https://docs.os.uk/os-downloads/products/addresses-and-names-portfolio/os-open-names</w:t>
      </w:r>
    </w:p>
    <w:p>
      <w:pPr>
        <w:spacing w:after="60"/>
      </w:pPr>
      <w:r>
        <w:rPr>
          <w:b/>
        </w:rPr>
        <w:t xml:space="preserve">Ordnance Survey - Open Identifiers policy / OS Open USRN: </w:t>
      </w:r>
      <w:r>
        <w:rPr>
          <w:sz w:val="17"/>
        </w:rPr>
        <w:t>https://www.ordnancesurvey.co.uk/products/open-mastermap-programme/open-id-policy</w:t>
      </w:r>
    </w:p>
    <w:p>
      <w:pPr>
        <w:spacing w:after="60"/>
      </w:pPr>
      <w:r>
        <w:rPr>
          <w:b/>
        </w:rPr>
        <w:t xml:space="preserve">HM Land Registry - INSPIRE Index Polygons: </w:t>
      </w:r>
      <w:r>
        <w:rPr>
          <w:sz w:val="17"/>
        </w:rPr>
        <w:t>https://use-land-property-data.service.gov.uk/datasets/inspire</w:t>
      </w:r>
    </w:p>
    <w:p>
      <w:pPr>
        <w:spacing w:after="60"/>
      </w:pPr>
      <w:r>
        <w:rPr>
          <w:b/>
        </w:rPr>
        <w:t xml:space="preserve">HM Land Registry - INSPIRE technical guidance: </w:t>
      </w:r>
      <w:r>
        <w:rPr>
          <w:sz w:val="17"/>
        </w:rPr>
        <w:t>https://use-land-property-data.service.gov.uk/datasets/inspire/tech-guidance</w:t>
      </w:r>
    </w:p>
    <w:p>
      <w:pPr>
        <w:spacing w:before="200" w:after="0"/>
      </w:pPr>
      <w:r>
        <w:rPr>
          <w:b/>
        </w:rPr>
        <w:t>Companion notebook: land_geolocation_text_first_sagemaker.ipynb</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Automated Land Description Geolocation - Text-first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259"/>
    </w:pPr>
    <w:rPr>
      <w:rFonts w:ascii="Consolas" w:hAnsi="Consolas"/>
      <w:sz w:val="17"/>
    </w:r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Land Description Geolocation - Pipeline Explanation</dc:title>
  <dc:subject>Text-first Azure OpenAI + OS + HMLR INSPIRE pipeline for England and Wales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