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Montserrat" w:cs="Montserrat" w:eastAsia="Montserrat" w:hAnsi="Montserrat"/>
          <w:b w:val="1"/>
          <w:color w:val="113452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28"/>
          <w:szCs w:val="2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785938" cy="392287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392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28"/>
          <w:szCs w:val="28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Montserrat" w:cs="Montserrat" w:eastAsia="Montserrat" w:hAnsi="Montserrat"/>
          <w:b w:val="1"/>
          <w:color w:val="113452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Montserrat" w:cs="Montserrat" w:eastAsia="Montserrat" w:hAnsi="Montserrat"/>
          <w:b w:val="1"/>
          <w:color w:val="113452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2"/>
          <w:szCs w:val="32"/>
          <w:rtl w:val="0"/>
        </w:rPr>
        <w:t xml:space="preserve">Lesson Topic: Week 15 Tutorial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Montserrat" w:cs="Montserrat" w:eastAsia="Montserrat" w:hAnsi="Montserrat"/>
          <w:b w:val="1"/>
          <w:color w:val="113452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2"/>
          <w:szCs w:val="32"/>
          <w:rtl w:val="0"/>
        </w:rPr>
        <w:t xml:space="preserve">Date:</w:t>
      </w: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2"/>
          <w:szCs w:val="32"/>
          <w:rtl w:val="0"/>
        </w:rPr>
        <w:t xml:space="preserve">19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60" w:lineRule="auto"/>
        <w:rPr>
          <w:rFonts w:ascii="Montserrat" w:cs="Montserrat" w:eastAsia="Montserrat" w:hAnsi="Montserrat"/>
          <w:color w:val="113452"/>
          <w:sz w:val="16"/>
          <w:szCs w:val="16"/>
        </w:rPr>
      </w:pPr>
      <w:r w:rsidDel="00000000" w:rsidR="00000000" w:rsidRPr="00000000">
        <w:rPr>
          <w:rFonts w:ascii="Cabin" w:cs="Cabin" w:eastAsia="Cabin" w:hAnsi="Cabin"/>
          <w:sz w:val="24"/>
          <w:szCs w:val="24"/>
          <w:u w:val="single"/>
        </w:rPr>
        <w:drawing>
          <wp:inline distB="114300" distT="114300" distL="114300" distR="114300">
            <wp:extent cx="5734050" cy="190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-105.0" w:type="dxa"/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bin" w:cs="Cabin" w:eastAsia="Cabin" w:hAnsi="Cabin"/>
                <w:b w:val="1"/>
                <w:color w:val="ee6b00"/>
                <w:sz w:val="40"/>
                <w:szCs w:val="40"/>
                <w:shd w:fill="f9cb9c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3452"/>
                <w:sz w:val="28"/>
                <w:szCs w:val="28"/>
                <w:rtl w:val="0"/>
              </w:rPr>
              <w:t xml:space="preserve">Learning Objectives (4 mins)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Extend our understanding of sentiment analysis using more advanced machine learning models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Understanding Sequence Modeling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Montserrat Light" w:cs="Montserrat Light" w:eastAsia="Montserrat Light" w:hAnsi="Montserrat Light"/>
                <w:u w:val="non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Explore Recurrent Neural Networks (RNNs)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rFonts w:ascii="Montserrat Light" w:cs="Montserrat Light" w:eastAsia="Montserrat Light" w:hAnsi="Montserrat Light"/>
                <w:u w:val="non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Set the foundation for understanding the architecture that underlies models such as the GPT models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105.0" w:type="dxa"/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bin" w:cs="Cabin" w:eastAsia="Cabin" w:hAnsi="Cabin"/>
                <w:b w:val="1"/>
                <w:color w:val="ee6b00"/>
                <w:sz w:val="40"/>
                <w:szCs w:val="40"/>
                <w:shd w:fill="f9cb9c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3452"/>
                <w:sz w:val="28"/>
                <w:szCs w:val="28"/>
                <w:rtl w:val="0"/>
              </w:rPr>
              <w:t xml:space="preserve">Introduction (2 mins)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Explain to students that the intention of this tutorial is to provide them with additional tools for more advanced NLP analysis.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  <w:u w:val="non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Explain to students we are setting the foundation for understanding LLMs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0.0" w:type="dxa"/>
        <w:jc w:val="left"/>
        <w:tblInd w:w="-105.0" w:type="dxa"/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3452"/>
                <w:sz w:val="28"/>
                <w:szCs w:val="28"/>
                <w:rtl w:val="0"/>
              </w:rPr>
              <w:t xml:space="preserve">Lesson body - Approaches and Activities (45 + 45 mins)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Notebook walkthroughs. There are 2 examples to go through. Advanced Sentiment Analysis first and RNN &amp; LSTM second (more time dedicated to the latter).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The pace should be slow and each step in the code should be explained very clearly (45 mins + 45 mins with break in between)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Ind w:w="-105.0" w:type="dxa"/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bin" w:cs="Cabin" w:eastAsia="Cabin" w:hAnsi="Cabin"/>
                <w:b w:val="1"/>
                <w:color w:val="ee6b00"/>
                <w:sz w:val="40"/>
                <w:szCs w:val="40"/>
                <w:shd w:fill="f9cb9c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3452"/>
                <w:sz w:val="28"/>
                <w:szCs w:val="28"/>
                <w:rtl w:val="0"/>
              </w:rPr>
              <w:t xml:space="preserve">Checking for Understanding (5 mins)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Observe emoji reactions.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Pause for questions.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Open the floor to questions.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105.0" w:type="dxa"/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bin" w:cs="Cabin" w:eastAsia="Cabin" w:hAnsi="Cabin"/>
                <w:b w:val="1"/>
                <w:color w:val="ee6b00"/>
                <w:sz w:val="40"/>
                <w:szCs w:val="40"/>
                <w:shd w:fill="f9cb9c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3452"/>
                <w:sz w:val="28"/>
                <w:szCs w:val="28"/>
                <w:rtl w:val="0"/>
              </w:rPr>
              <w:t xml:space="preserve">Conclusion (4 mins)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Revisit objectives and unpack how each one was met during the tutorial.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0.0" w:type="dxa"/>
        <w:jc w:val="left"/>
        <w:tblInd w:w="-105.0" w:type="dxa"/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22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bin" w:cs="Cabin" w:eastAsia="Cabin" w:hAnsi="Cabin"/>
                <w:b w:val="1"/>
                <w:color w:val="ee6b00"/>
                <w:sz w:val="40"/>
                <w:szCs w:val="40"/>
                <w:shd w:fill="f9cb9c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3452"/>
                <w:sz w:val="28"/>
                <w:szCs w:val="28"/>
                <w:rtl w:val="0"/>
              </w:rPr>
              <w:t xml:space="preserve">Review of Lesson Timeline (Total 120 mins)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Learning Objectives - 4 mins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  <w:u w:val="non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Introduction - 2 mins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  <w:u w:val="non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Lesson body -Approaches and Activities - 45 + 45 mins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  <w:u w:val="non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Break - 15 mins between 45 mins walkthroughs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  <w:u w:val="non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Checking for Understanding - 5 mins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  <w:u w:val="non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Conclusion -  4 mins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spacing w:after="120" w:before="160" w:lineRule="auto"/>
        <w:rPr>
          <w:rFonts w:ascii="Cabin" w:cs="Cabin" w:eastAsia="Cabin" w:hAnsi="Cabi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-952499</wp:posOffset>
            </wp:positionH>
            <wp:positionV relativeFrom="paragraph">
              <wp:posOffset>6615300</wp:posOffset>
            </wp:positionV>
            <wp:extent cx="7635194" cy="37128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5194" cy="371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b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60" w:lineRule="auto"/>
      <w:jc w:val="both"/>
    </w:pPr>
    <w:rPr>
      <w:rFonts w:ascii="Montserrat" w:cs="Montserrat" w:eastAsia="Montserrat" w:hAnsi="Montserrat"/>
      <w:b w:val="1"/>
      <w:color w:val="c19a4f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300" w:lineRule="auto"/>
    </w:pPr>
    <w:rPr>
      <w:rFonts w:ascii="Montserrat" w:cs="Montserrat" w:eastAsia="Montserrat" w:hAnsi="Montserrat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60" w:lineRule="auto"/>
      <w:jc w:val="center"/>
    </w:pPr>
    <w:rPr>
      <w:rFonts w:ascii="Montserrat" w:cs="Montserrat" w:eastAsia="Montserrat" w:hAnsi="Montserrat"/>
      <w:b w:val="1"/>
      <w:color w:val="113452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Cabin-regular.ttf"/><Relationship Id="rId6" Type="http://schemas.openxmlformats.org/officeDocument/2006/relationships/font" Target="fonts/Cabin-bold.ttf"/><Relationship Id="rId7" Type="http://schemas.openxmlformats.org/officeDocument/2006/relationships/font" Target="fonts/Cabin-italic.ttf"/><Relationship Id="rId8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