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  <w:r>
        <w:rPr>
          <w:rFonts w:ascii=".SFNS-Bold" w:hAnsi=".SFNS-Bold" w:cs=".SFNS-Bold"/>
          <w:sz w:val="48"/>
          <w:szCs w:val="48"/>
          <w:shd w:fill="FFFFFF"/>
          <w:color w:val="555555"/>
          <w:b/>
        </w:rPr>
        <w:t xml:space="preserve">Notes in ‘wp_covid1’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  <w:r>
        <w:rPr>
          <w:rFonts w:ascii="Helvetica-Bold" w:hAnsi="Helvetica-Bold" w:cs="Helvetica-Bold"/>
          <w:sz w:val="36"/>
          <w:szCs w:val="36"/>
          <w:shd w:fill="FFFFFF"/>
          <w:color w:val="000000"/>
          <w:b/>
        </w:rPr>
        <w:t xml:space="preserve">Notes in Document 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  <w:r>
        <w:rPr>
          <w:rFonts w:ascii="Helvetica-Bold" w:hAnsi="Helvetica-Bold" w:cs="Helvetica-Bold"/>
          <w:sz w:val="36"/>
          <w:szCs w:val="36"/>
          <w:shd w:fill="FFFFFF"/>
          <w:color w:val="000000"/>
          <w:b/>
        </w:rPr>
        <w:t xml:space="preserve">'figures_tables':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Check the sentence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p.25</w:t>
        <w:br/>
        <w:t xml:space="preserve">Refers to text: 'similar—but in important respects more persistent—')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Where is the star?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(figures_tables, p.47</w:t>
        <w:br/>
        <w:t xml:space="preserve">Refers to text: 'p &lt;')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  <w:r>
        <w:rPr>
          <w:rFonts w:ascii="Helvetica-Bold" w:hAnsi="Helvetica-Bold" w:cs="Helvetica-Bold"/>
          <w:sz w:val="36"/>
          <w:szCs w:val="36"/>
          <w:shd w:fill="FFFFFF"/>
          <w:color w:val="000000"/>
          <w:b/>
        </w:rPr>
        <w:t xml:space="preserve">Notes in Document 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  <w:r>
        <w:rPr>
          <w:rFonts w:ascii="Helvetica-Bold" w:hAnsi="Helvetica-Bold" w:cs="Helvetica-Bold"/>
          <w:sz w:val="36"/>
          <w:szCs w:val="36"/>
          <w:shd w:fill="FFFFFF"/>
          <w:color w:val="000000"/>
          <w:b/>
        </w:rPr>
        <w:t xml:space="preserve">'working_paper_2_1':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99FFD4"/>
          <w:color w:val="000000"/>
        </w:rPr>
        <w:t xml:space="preserve">Tag: changes </w:t>
      </w: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:</w:t>
        <w:tab/>
        <w:t xml:space="preserve">for the Introductory Microeconomics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p.9)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change to an introductory microeconomics course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p.9</w:t>
        <w:br/>
        <w:t xml:space="preserve">Refers to text: '')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Remove sharp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p.15</w:t>
        <w:br/>
        <w:t xml:space="preserve">Refers to text: 'sharp')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Remove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p.16</w:t>
        <w:br/>
        <w:t xml:space="preserve">Refers to text: 'structural')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EA99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Where is white?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p.17</w:t>
        <w:br/>
        <w:t xml:space="preserve">Refers to text: 'Black enrollment remained stable,</w:t>
        <w:br/>
        <w:t xml:space="preserve"/>
        <w:br/>
        <w:t xml:space="preserve">with no statistically significant change.')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99FFD4"/>
          <w:color w:val="000000"/>
        </w:rPr>
        <w:t xml:space="preserve">Tag: changes </w:t>
      </w: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:</w:t>
        <w:tab/>
        <w:t xml:space="preserve">As noted in the data section, missing baseline GPA values are imputed using the end-of-  semester GPA or, if both are unavailable, the semester-specific mean GPA. 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p.18)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Female proportion?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p.18</w:t>
        <w:br/>
        <w:t xml:space="preserve">Refers to text: '')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Check whether I mentioned pooling pre covid semesters to increase the sample size.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p.19</w:t>
        <w:br/>
        <w:t xml:space="preserve">Refers to text: 'Column (2) disaggregates this effect by semester, using the pooled 2019 academic year as</w:t>
        <w:br/>
        <w:t xml:space="preserve"/>
        <w:br/>
        <w:t xml:space="preserve">the reference category. 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Remove all standard deviation mentions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p.19</w:t>
        <w:br/>
        <w:t xml:space="preserve">Refers to text: 'equivalent to a 0.37 standard deviation decrease')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Remove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p.19</w:t>
        <w:br/>
        <w:t xml:space="preserve">Refers to text: 'representing a decline of 0.45 standard deviations relative to the pre-pandemic</w:t>
        <w:br/>
        <w:t xml:space="preserve"/>
        <w:br/>
        <w:t xml:space="preserve">baseline.</w:t>
        <w:br/>
        <w:t xml:space="preserve"/>
        <w:br/>
        <w:t xml:space="preserve">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Remove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p.19</w:t>
        <w:br/>
        <w:t xml:space="preserve">Refers to text: 'This translates to a decline of approximately 0.21 standard deviations.')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Check these again  and put them in the footnote if possible.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p.20</w:t>
        <w:br/>
        <w:t xml:space="preserve">Refers to text: 'For the aggregate exam score analysis, the quartiles are defined as:</w:t>
        <w:br/>
        <w:t xml:space="preserve"/>
        <w:br/>
        <w:t xml:space="preserve">Q1 (GPA ≤ 3.01), Q2 (3.01 &lt; GPA ≤ 3.37), Q3 (3.37 &lt; GPA ≤ 3.71), and Q4 (GPA &gt; 3.71).</w:t>
        <w:br/>
        <w:t xml:space="preserve"/>
        <w:br/>
        <w:t xml:space="preserve">Similarly, for the matched-question analysis, the thresholds are: Q1 (GPA ≤ 3.08), Q2 (3.08</w:t>
        <w:br/>
        <w:t xml:space="preserve"/>
        <w:br/>
        <w:t xml:space="preserve">&lt; GPA ≤ 3.32), Q3 (3.32 &lt; GPA ≤ 3.68), and Q4 (GPA &gt; 3.68). Using the top quartile (Q4)</w:t>
        <w:br/>
        <w:t xml:space="preserve"/>
        <w:br/>
        <w:t xml:space="preserve">as the reference group, I examine whether the pandemic exacerbated achievement gaps</w:t>
        <w:br/>
        <w:t xml:space="preserve"/>
        <w:br/>
        <w:t xml:space="preserve">for lower-performing students.</w:t>
        <w:br/>
        <w:t xml:space="preserve"/>
        <w:br/>
        <w:t xml:space="preserve">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Strange sentence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p.20</w:t>
        <w:br/>
        <w:t xml:space="preserve">Refers to text: 'Table 3 presents the results.')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Remove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p.20</w:t>
        <w:br/>
        <w:t xml:space="preserve">Refers to text: 'difference of approximately 1.17 standard deviations.')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Correct this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p.20</w:t>
        <w:br/>
        <w:t xml:space="preserve">Refers to text: '(post x GPA (first quartile))')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Remove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p.20</w:t>
        <w:br/>
        <w:t xml:space="preserve">Refers to text: 'points—roughly 0.37 standard deviations—')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Point to evidence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p.21</w:t>
        <w:br/>
        <w:t xml:space="preserve">Refers to text: 'provide robust')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Due to the pandemic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p.22</w:t>
        <w:br/>
        <w:t xml:space="preserve">Refers to text: 'The interaction term is negative and statistically</w:t>
        <w:br/>
        <w:t xml:space="preserve"/>
        <w:br/>
        <w:t xml:space="preserve">significant: low-GPA students experienced an additional 3.25-point decline in exam scores</w:t>
        <w:br/>
        <w:t xml:space="preserve"/>
        <w:br/>
        <w:t xml:space="preserve">during the post-pandemic period compared to high-GPA students.</w:t>
        <w:br/>
        <w:t xml:space="preserve"/>
        <w:br/>
        <w:t xml:space="preserve">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Size able?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p.23</w:t>
        <w:br/>
        <w:t xml:space="preserve">Refers to text: 'indicating a sizable decline in exam')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Remove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p.23</w:t>
        <w:br/>
        <w:t xml:space="preserve">Refers to text: '(approximately −0.34 standard deviations)')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Check this largest negative effect semester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p.24</w:t>
        <w:br/>
        <w:t xml:space="preserve">Refers to text: 'The top-left panel</w:t>
        <w:br/>
        <w:t xml:space="preserve"/>
        <w:br/>
        <w:t xml:space="preserve">(final exam scores: low vs. high GPA) shows a pronounced deterioration for low-GPA</w:t>
        <w:br/>
        <w:t xml:space="preserve"/>
        <w:br/>
        <w:t xml:space="preserve">students immediately following the onset of the pandemic, with the largest negative effect</w:t>
        <w:br/>
        <w:t xml:space="preserve"/>
        <w:br/>
        <w:t xml:space="preserve">occurring in Fall 2020')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Panel location are wrong.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p.25</w:t>
        <w:br/>
        <w:t xml:space="preserve">Refers to text: 'The top-right panel (final exam scores: online vs. hybrid) highlights the temporal profile of</w:t>
        <w:br/>
        <w:t xml:space="preserve"/>
        <w:br/>
        <w:t xml:space="preserve">the modality shock')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Paraphrase this.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p.25</w:t>
        <w:br/>
        <w:t xml:space="preserve">Refers to text: 'Taken together, these results un-</w:t>
        <w:br/>
        <w:t xml:space="preserve"/>
        <w:br/>
        <w:t xml:space="preserve">derscore that conclusions about recovery depend on the outcome metric: aggregate exam</w:t>
        <w:br/>
        <w:t xml:space="preserve"/>
        <w:br/>
        <w:t xml:space="preserve">scores suggest partial rebound, whereas item-level performance points to more persistent</w:t>
        <w:br/>
        <w:t xml:space="preserve"/>
        <w:br/>
        <w:t xml:space="preserve">deficits for low-GPA students.</w:t>
        <w:br/>
        <w:t xml:space="preserve"/>
        <w:br/>
        <w:t xml:space="preserve">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EA99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Check if I mentioned code before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p.25</w:t>
        <w:br/>
        <w:t xml:space="preserve">Refers to text: 'ECO 1001</w:t>
        <w:br/>
        <w:t xml:space="preserve"/>
        <w:br/>
        <w:t xml:space="preserve">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FFFF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Look at the order of explanation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p.26</w:t>
        <w:br/>
        <w:t xml:space="preserve">Refers to text: 'estimates. Panel A compares low- and high-GPA students. For</w:t>
        <w:br/>
        <w:t xml:space="preserve"/>
        <w:br/>
        <w:t xml:space="preserve">hard questions, low-GPA students are substantially less likely to answer correctly than high-</w:t>
        <w:br/>
        <w:t xml:space="preserve"/>
        <w:br/>
        <w:t xml:space="preserve">GPA students (a 14.1 percentage point gap in Column 3). Moreover, this disparity widens</w:t>
        <w:br/>
        <w:t xml:space="preserve"/>
        <w:br/>
        <w:t xml:space="preserve">in the post-pandemic period: the interaction term in Column 4 indicates an additional</w:t>
        <w:br/>
        <w:t xml:space="preserve"/>
        <w:br/>
        <w:t xml:space="preserve">3.7 percentage point decline for low-GPA students on hard items relative to high-GPA</w:t>
        <w:br/>
        <w:t xml:space="preserve"/>
        <w:br/>
        <w:t xml:space="preserve">students (𝑝 &lt; 0.01). For easy questions, low-GPA students also perform worse on average</w:t>
        <w:br/>
        <w:t xml:space="preserve"/>
        <w:br/>
        <w:t xml:space="preserve">(about 9–10 percentage points), but the post-pandemic interaction is small and statistically</w:t>
        <w:br/>
        <w:t xml:space="preserve"/>
        <w:br/>
        <w:t xml:space="preserve">indistinguishable from zero, suggesting that the additional pandemic-era decline for low-</w:t>
        <w:br/>
        <w:t xml:space="preserve"/>
        <w:br/>
        <w:t xml:space="preserve">GPA students is concentrated in more difficult content.</w:t>
        <w:br/>
        <w:t xml:space="preserve"/>
        <w:br/>
        <w:t xml:space="preserve">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  <w:r>
        <w:rPr>
          <w:rFonts w:ascii="Helvetica-Bold" w:hAnsi="Helvetica-Bold" w:cs="Helvetica-Bold"/>
          <w:sz w:val="36"/>
          <w:szCs w:val="36"/>
          <w:shd w:fill="FFFFFF"/>
          <w:color w:val="000000"/>
          <w:b/>
        </w:rPr>
        <w:t xml:space="preserve">Notes in Workspace: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ind w:left="0" w:hanging="0"/>
        <w:rPr>
          <w:rFonts w:ascii="Helvetica" w:hAnsi="Helvetica" w:cs="Helvetica"/>
          <w:sz w:val="24"/>
          <w:szCs w:val="24"/>
        </w:rPr>
      </w:pP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1200" w:hanging="120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  <w:shd w:fill="FFEA99"/>
          <w:color w:val="000000"/>
        </w:rPr>
        <w:t xml:space="preserve">Comment</w:t>
      </w:r>
      <w:r>
        <w:rPr>
          <w:rFonts w:ascii="(null)" w:hAnsi="(null)" w:cs="(null)"/>
          <w:sz w:val="0"/>
          <w:szCs w:val="0"/>
          <w:shd w:fill="FFFFFF"/>
          <w:color w:val="000000"/>
        </w:rPr>
        <w:t xml:space="preserve">:</w:t>
        <w:tab/>
        <w:t xml:space="preserve"/>
      </w:r>
      <w:r>
        <w:rPr>
          <w:rFonts w:ascii="HelveticaNeue" w:hAnsi="HelveticaNeue" w:cs="HelveticaNeue"/>
          <w:sz w:val="24"/>
          <w:szCs w:val="24"/>
          <w:shd w:fill="FFFFFF"/>
          <w:color w:val="000000"/>
        </w:rPr>
        <w:t xml:space="preserve">Where is non native students in descriptive stats table? </w:t>
      </w:r>
      <w:r>
        <w:rPr>
          <w:rFonts w:ascii=".SFNS-RegularItalic" w:hAnsi=".SFNS-RegularItalic" w:cs=".SFNS-RegularItalic"/>
          <w:sz w:val="20"/>
          <w:szCs w:val="20"/>
          <w:shd w:fill="FFFFFF"/>
          <w:color w:val="AAAAAA"/>
          <w:i/>
        </w:rPr>
        <w:t xml:space="preserve"/>
        <w:br/>
        <w:t xml:space="preserve">(working_paper_2_1, p.18</w:t>
        <w:br/>
        <w:t xml:space="preserve">Refers to text: 'Concurrently, the proportion of part-time students and non-native English</w:t>
        <w:br/>
        <w:t xml:space="preserve"/>
        <w:br/>
        <w:t xml:space="preserve">speakers declined significantly.</w:t>
        <w:br/>
        <w:t xml:space="preserve"/>
        <w:br/>
        <w:t xml:space="preserve">')</w:t>
      </w:r>
    </w:p>
    <w:p w:rsidR="00000000" w:rsidRDefault="009D712F">
      <w:pPr>
        <w:widowControl w:val="0"/>
        <w:tabs>
          <w:tab w:val="left" w:pos="560"/>
          <w:tab w:val="left" w:pos="120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ind w:left="0" w:hanging="0"/>
        <w:rPr>
          <w:rFonts w:ascii="Helvetica" w:hAnsi="Helvetica" w:cs="Helvetica"/>
          <w:sz w:val="24"/>
          <w:szCs w:val="24"/>
        </w:rPr>
      </w:pPr>
    </w:p>
    <w:sectPr w:rsidR="009D71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SFUIDisplay-Semi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.SFUIText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B28"/>
    <w:rsid w:val="009D712F"/>
    <w:rsid w:val="00D1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D1608EA-A2BC-4DC2-81C6-206F80A6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D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45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1565</Words>
  <Characters>8922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</dc:creator>
  <cp:keywords/>
  <dc:description/>
  <cp:lastModifiedBy>Craig</cp:lastModifiedBy>
  <cp:revision>2</cp:revision>
  <dcterms:created xsi:type="dcterms:W3CDTF">2015-11-26T02:25:00Z</dcterms:created>
  <dcterms:modified xsi:type="dcterms:W3CDTF">2015-11-26T02:25:00Z</dcterms:modified>
</cp:coreProperties>
</file>