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MHIPEX v21 vs. Reviewer/Advisor Comments</w:t>
      </w:r>
    </w:p>
    <w:p>
      <w:pPr>
        <w:pStyle w:val="Heading3"/>
        <w:spacing w:after="200"/>
      </w:pPr>
      <w:r>
        <w:t xml:space="preserve">Full line-by-line audit: what was fixed, what is still wrong, and what a top-tier journal reviewer will still flag</w:t>
      </w:r>
    </w:p>
    <w:p>
      <w:pPr>
        <w:spacing w:after="100"/>
      </w:pPr>
      <w:r>
        <w:rPr>
          <w:i/>
          <w:iCs/>
        </w:rPr>
        <w:t xml:space="preserve">This audit compares Comments.pdf (the advisor/reviewer notes) against the current manuscript, MHIPEX_Paper_Final_v21.pdf, item by item. Legend: </w:t>
      </w:r>
    </w:p>
    <w:p>
      <w:pPr>
        <w:spacing w:after="200"/>
      </w:pPr>
      <w:r>
        <w:rPr>
          <w:b/>
          <w:bCs/>
          <w:color w:val="1E7B34"/>
        </w:rPr>
        <w:t xml:space="preserve"> [FIXED] </w:t>
      </w:r>
      <w:r>
        <w:t xml:space="preserve">comment fully resolved in v21   </w:t>
      </w:r>
      <w:r>
        <w:rPr>
          <w:b/>
          <w:bCs/>
          <w:color w:val="B8860B"/>
        </w:rPr>
        <w:t xml:space="preserve"> [PARTIAL] </w:t>
      </w:r>
      <w:r>
        <w:t xml:space="preserve">addressed but incomplete   </w:t>
      </w:r>
      <w:r>
        <w:rPr>
          <w:b/>
          <w:bCs/>
          <w:color w:val="B00020"/>
        </w:rPr>
        <w:t xml:space="preserve"> [OPEN] </w:t>
      </w:r>
      <w:r>
        <w:t xml:space="preserve">not addressed / still wrong</w:t>
      </w:r>
    </w:p>
    <w:p>
      <w:pPr>
        <w:pStyle w:val="Heading1"/>
        <w:spacing w:after="150" w:before="300"/>
      </w:pPr>
      <w:r>
        <w:t xml:space="preserve">0. Bottom Line</w:t>
      </w:r>
    </w:p>
    <w:p>
      <w:pPr>
        <w:spacing w:after="100"/>
      </w:pPr>
      <w:r>
        <w:t xml:space="preserve">The good news: v21 is a substantially revised draft, and it visibly responds to almost every comment in Comments.pdf — the Table-3 arithmetic errors are gone, Soares et al. is now cited correctly, focal loss vs. weighted CE is now ablated, thresholds are now reported, a Limitations subsection now exists, the KG-augmentation and OCR-robustness experiments your advisor sketched as 'novel ideas' have actually been run, and the redundant old Figure 3 has been replaced. This is real, substantive progress, not cosmetic.</w:t>
      </w:r>
    </w:p>
    <w:p>
      <w:pPr>
        <w:spacing w:after="100"/>
      </w:pPr>
      <w:r>
        <w:t xml:space="preserve">The bad news: (1) a handful of Comments.pdf items are only partially closed — most importantly, no empirical comparison against a real RE baseline (Soares-style marker model aside) or against LUKE/SpanBERT/ATLOP has been run, only argued away; and (2) my own line-by-line cross-checking of v21's own tables surfaced NEW internal inconsistencies that Comments.pdf never had the chance to flag, because they were introduced in this revision. Table 7 (loss-function ablation) and Table 8 (β-sensitivity) do not reconcile with Table 4 (main results) for what should be the identical hmBERT configuration. These are exactly the kind of arithmetic-consistency problems that got Table 3 flagged last time, and a careful reviewer will find them the same way I did — by lining the tables up next to each other.</w:t>
      </w:r>
    </w:p>
    <w:p>
      <w:pPr>
        <w:spacing w:after="100"/>
      </w:pPr>
      <w:r>
        <w:t xml:space="preserve">Sections 1–7 below go through Comments.pdf claim-by-claim. Part 2 (Section 8) is the new material — issues that exist in v21 itself, independent of the earlier review. Section 9 gives a prioritized to-do list.</w:t>
      </w:r>
    </w:p>
    <w:p>
      <w:pPr>
        <w:pStyle w:val="Heading1"/>
        <w:spacing w:after="150" w:before="300"/>
      </w:pPr>
      <w:r>
        <w:t xml:space="preserve">PART 1 — Resolution status of every comment in Comments.pdf</w:t>
      </w:r>
    </w:p>
    <w:p>
      <w:pPr>
        <w:pStyle w:val="Heading2"/>
        <w:spacing w:after="100" w:before="220"/>
      </w:pPr>
      <w:r>
        <w:t xml:space="preserve">1. Venue / journal strategy comments</w:t>
      </w:r>
    </w:p>
    <w:p>
      <w:pPr>
        <w:spacing w:after="120"/>
      </w:pPr>
      <w:r>
        <w:rPr>
          <w:b/>
          <w:bCs/>
          <w:color w:val="B00020"/>
        </w:rPr>
        <w:t xml:space="preserve"> [OPEN — decision, not text] </w:t>
      </w:r>
      <w:r>
        <w:rPr>
          <w:b/>
          <w:bCs/>
        </w:rPr>
        <w:t xml:space="preserve">Two-paper vs. one-paper strategy: </w:t>
      </w:r>
      <w:r>
        <w:t xml:space="preserve">Comments.pdf proposes either (a) a minor-revision conference paper (non-shared-task framing) + a separate extended journal paper, or (b) a single journal paper. The manuscript itself does not resolve this — it reads as a single extended paper, closer to option (b). This is fine as a choice, but it is a decision your advisor asked you to make explicitly, and there's no cover note / submission plan in the PDF confirming which path was taken.</w:t>
      </w:r>
    </w:p>
    <w:p>
      <w:pPr>
        <w:spacing w:after="120"/>
      </w:pPr>
      <w:r>
        <w:rPr>
          <w:b/>
          <w:bCs/>
          <w:color w:val="B00020"/>
        </w:rPr>
        <w:t xml:space="preserve"> [OPEN — must verify externally] </w:t>
      </w:r>
      <w:r>
        <w:rPr>
          <w:b/>
          <w:bCs/>
        </w:rPr>
        <w:t xml:space="preserve">Journal must be Hybrid OA, SCI(E)-indexed, no mandatory APC: </w:t>
      </w:r>
      <w:r>
        <w:t xml:space="preserve">None of the 5 suggested venues (Information Processing &amp; Management, Expert Systems With Applications, Knowledge-Based Systems, IEEE/ACM TASLP, Computer Speech &amp; Language) have been checked against this constraint in any document you've shown me. This needs to be verified directly on each journal's website before submission — Elsevier hybrid-OA policies and APC waivers change often enough that this can't be assumed from memory the same way the paper's own claims can't be assumed correct without checking the tables.</w:t>
      </w:r>
    </w:p>
    <w:p>
      <w:pPr>
        <w:spacing w:after="120"/>
      </w:pPr>
      <w:r>
        <w:rPr>
          <w:b/>
          <w:bCs/>
          <w:color w:val="B8860B"/>
        </w:rPr>
        <w:t xml:space="preserve"> [PARTIAL] </w:t>
      </w:r>
      <w:r>
        <w:rPr>
          <w:b/>
          <w:bCs/>
        </w:rPr>
        <w:t xml:space="preserve">"Broader related-work positioning + fuller comparison against general-purpose RE baselines" (the stated minimum bar for a standalone paper): </w:t>
      </w:r>
      <w:r>
        <w:t xml:space="preserve">Related Work gained a whole new subsection (2.4, KG/gazetteer literature: Wikidata, GeoNames, Getty TGN, Pelagios/Recogito, CIDOC-CRM, Europeana) — that part is done well. But the "fuller comparison against general-purpose RE baselines" is still just prose justification (Sections 2.2 and 5.3) for why LUKE/SpanBERT/ATLOP/DocRED-style models were not run, not an actual empirical comparison. A journal reviewer for IPM/ESWA/KBS will very likely ask for at least one of these to be run, even in a reduced/adapted form, or will ask for the justification to be even more rigorously defended (e.g., a short pilot showing why adaptation is infeasible, not just parameter/metric mismatch arguments).</w:t>
      </w:r>
    </w:p>
    <w:p>
      <w:pPr>
        <w:pStyle w:val="Heading2"/>
        <w:spacing w:after="100" w:before="220"/>
      </w:pPr>
      <w:r>
        <w:t xml:space="preserve">2. Rubric-style criticism (Aim, Experimental Design, Correctness, Generalizability, Reproducibility, References)</w:t>
      </w:r>
    </w:p>
    <w:p>
      <w:pPr>
        <w:pStyle w:val="Heading3"/>
        <w:spacing w:after="80" w:before="160"/>
      </w:pPr>
      <w:r>
        <w:t xml:space="preserve">2.1 Aim/Objective &amp; Contributions (was 3/5): "clarify what is genuinely novel"</w:t>
      </w:r>
    </w:p>
    <w:p>
      <w:pPr>
        <w:spacing w:after="120"/>
      </w:pPr>
      <w:r>
        <w:rPr>
          <w:b/>
          <w:bCs/>
          <w:color w:val="1E7B34"/>
        </w:rPr>
        <w:t xml:space="preserve"> [FIXED] </w:t>
      </w:r>
      <w:r>
        <w:rPr>
          <w:b/>
          <w:bCs/>
        </w:rPr>
        <w:t xml:space="preserve"/>
      </w:r>
      <w:r>
        <w:t xml:space="preserve">Section 3.10 now explicitly stakes out RLAE as the one genuinely novel contribution, distinguishes it from "established techniques" (hmBERT, weighted CE, basic ensembling), and pre-empts the reviewer's own question ("a reviewer might ask why a dynamic gating network was not used instead") with a three-part justification (small-sample overfitting risk, interpretability, zero-cost reuse). This is a strong, reviewer-literate fix.</w:t>
      </w:r>
    </w:p>
    <w:p>
      <w:pPr>
        <w:pStyle w:val="Heading3"/>
        <w:spacing w:after="80" w:before="160"/>
      </w:pPr>
      <w:r>
        <w:t xml:space="preserve">2.2 Experimental Design (was 3/5)</w:t>
      </w:r>
    </w:p>
    <w:p>
      <w:pPr>
        <w:pStyle w:val="ListParagraph"/>
        <w:numPr>
          <w:ilvl w:val="0"/>
          <w:numId w:val="1"/>
        </w:numPr>
        <w:spacing w:after="60"/>
      </w:pPr>
      <w:r>
        <w:t xml:space="preserve">"No baseline isolates class-weighted CE vs. unweighted CE" — </w:t>
      </w:r>
    </w:p>
    <w:p>
      <w:pPr>
        <w:spacing w:after="120"/>
      </w:pPr>
      <w:r>
        <w:rPr>
          <w:b/>
          <w:bCs/>
          <w:color w:val="1E7B34"/>
        </w:rPr>
        <w:t xml:space="preserve"> [FIXED] </w:t>
      </w:r>
      <w:r>
        <w:rPr>
          <w:b/>
          <w:bCs/>
        </w:rPr>
        <w:t xml:space="preserve"/>
      </w:r>
      <w:r>
        <w:t xml:space="preserve">New Table 7 / Section 5.5 directly ablates Unweighted CE vs. Weighted CE vs. Focal Loss on hmBERT.</w:t>
      </w:r>
    </w:p>
    <w:p>
      <w:pPr>
        <w:spacing w:after="120"/>
      </w:pPr>
      <w:r>
        <w:rPr>
          <w:b/>
          <w:bCs/>
          <w:color w:val="1E7B34"/>
        </w:rPr>
        <w:t xml:space="preserve"> [FIXED] </w:t>
      </w:r>
      <w:r>
        <w:rPr>
          <w:b/>
          <w:bCs/>
        </w:rPr>
        <w:t xml:space="preserve">"No comparison against focal loss" — </w:t>
      </w:r>
      <w:r>
        <w:t xml:space="preserve">Same Table 7 now reports focal loss (γ=2) with a directional (not significance-claimed) comparison.</w:t>
      </w:r>
    </w:p>
    <w:p>
      <w:pPr>
        <w:spacing w:after="120"/>
      </w:pPr>
      <w:r>
        <w:rPr>
          <w:b/>
          <w:bCs/>
          <w:color w:val="1E7B34"/>
        </w:rPr>
        <w:t xml:space="preserve"> [FIXED] </w:t>
      </w:r>
      <w:r>
        <w:rPr>
          <w:b/>
          <w:bCs/>
        </w:rPr>
        <w:t xml:space="preserve">"Ablation only varies hmBERT-side; can't tell ensembling vs. weighting vs. simply having two models; β=0.60 unablated" — </w:t>
      </w:r>
      <w:r>
        <w:t xml:space="preserve">Table 6 now splits the old single A5 row into A5a (uniform β=0.50) and A5b (optimized β=0.60), isolating "having two models" from "optimizing the mixing weight." Table 8 / Section 5.6 adds a full β-sweep from 0.0 to 1.0. This is a genuinely good fix — but see Section 8.4 below for a new granularity inconsistency this sweep introduces.</w:t>
      </w:r>
    </w:p>
    <w:p>
      <w:pPr>
        <w:pStyle w:val="Heading3"/>
        <w:spacing w:after="80" w:before="160"/>
      </w:pPr>
      <w:r>
        <w:t xml:space="preserve">2.3 Suggested SOTA comparisons</w:t>
      </w:r>
    </w:p>
    <w:p>
      <w:pPr>
        <w:spacing w:after="120"/>
      </w:pPr>
      <w:r>
        <w:rPr>
          <w:b/>
          <w:bCs/>
          <w:color w:val="1E7B34"/>
        </w:rPr>
        <w:t xml:space="preserve"> [FIXED] </w:t>
      </w:r>
      <w:r>
        <w:rPr>
          <w:b/>
          <w:bCs/>
        </w:rPr>
        <w:t xml:space="preserve">Soares et al. ("Matching the Blanks") entity-marker baseline — </w:t>
      </w:r>
      <w:r>
        <w:t xml:space="preserve">Section 5.3 now implements this directly: replacing &lt;DATE&gt;/&lt;LANG&gt; tokens with [E1]/[E2] markers, reporting MR = 0.566 (hmBERT) / 0.550 (XLM-R), and reference [13] is now in the bibliography and cited correctly (see 2.5 below).</w:t>
      </w:r>
    </w:p>
    <w:p>
      <w:pPr>
        <w:spacing w:after="120"/>
      </w:pPr>
      <w:r>
        <w:rPr>
          <w:b/>
          <w:bCs/>
          <w:color w:val="B00020"/>
        </w:rPr>
        <w:t xml:space="preserve"> [OPEN] </w:t>
      </w:r>
      <w:r>
        <w:rPr>
          <w:b/>
          <w:bCs/>
        </w:rPr>
        <w:t xml:space="preserve">Xu et al. document-level RE (ref 9) — </w:t>
      </w:r>
      <w:r>
        <w:t xml:space="preserve">Comments.pdf explicitly said this "should be empirically compared, not just discussed." v21 still only discusses it (Section 2.2) and formally defers it (Section 5.3, "Comparison with broader RE methods"). The justification is well-argued (different relation inventories, different metric, no entity-type supervision) but it is still an argument, not an experiment. A reviewer who raised this once may raise it again.</w:t>
      </w:r>
    </w:p>
    <w:p>
      <w:pPr>
        <w:spacing w:after="120"/>
      </w:pPr>
      <w:r>
        <w:rPr>
          <w:b/>
          <w:bCs/>
          <w:color w:val="1E7B34"/>
        </w:rPr>
        <w:t xml:space="preserve"> [FIXED] </w:t>
      </w:r>
      <w:r>
        <w:rPr>
          <w:b/>
          <w:bCs/>
        </w:rPr>
        <w:t xml:space="preserve">Focal-loss variant (ref 11) — </w:t>
      </w:r>
      <w:r>
        <w:t xml:space="preserve">See Table 7 above.</w:t>
      </w:r>
    </w:p>
    <w:p>
      <w:pPr>
        <w:pStyle w:val="Heading3"/>
        <w:spacing w:after="80" w:before="160"/>
      </w:pPr>
      <w:r>
        <w:t xml:space="preserve">2.4 Correctness and Anomalies (was 2/5) — Table 3 arithmetic errors</w:t>
      </w:r>
    </w:p>
    <w:p>
      <w:pPr>
        <w:spacing w:after="100"/>
      </w:pPr>
      <w:r>
        <w:t xml:space="preserve">Comments.pdf's specific complaints were: (a) hmBERT MR=0.546 didn't equal (0.450+0.655)/2=0.5525; (b) the calibrated and uncalibrated hmBERT rows had identical at/isAt values but different MR, which is impossible by the paper's own Eq. 1; (c) the same swap pattern for XLM-R; (d) old Figure 3 showed an isAt=0.610 value matching nothing in the tables, and its "XLM-R base" bar actually matched the calibrated row, not the row it was labeled as.</w:t>
      </w:r>
    </w:p>
    <w:p>
      <w:pPr>
        <w:spacing w:after="120"/>
      </w:pPr>
      <w:r>
        <w:rPr>
          <w:b/>
          <w:bCs/>
          <w:color w:val="1E7B34"/>
        </w:rPr>
        <w:t xml:space="preserve"> [FIXED] </w:t>
      </w:r>
      <w:r>
        <w:rPr>
          <w:b/>
          <w:bCs/>
        </w:rPr>
        <w:t xml:space="preserve"/>
      </w:r>
      <w:r>
        <w:t xml:space="preserve">All four sub-issues are resolved in v21's Table 4: every row now satisfies MR=(MR_at+MR_isAt)/2 to within ±0.001, and the table caption proactively explains the rounding convention and even shows the unrounded arithmetic for the one row (hmBERT†) where rounding is least intuitive (0.5525→0.553). The old, inconsistent Figure 3 has been removed entirely and replaced with a per-language breakdown chart that does not carry the old mismatched numbers.</w:t>
      </w:r>
    </w:p>
    <w:p>
      <w:pPr>
        <w:spacing w:after="100"/>
      </w:pPr>
      <w:r>
        <w:rPr>
          <w:i/>
          <w:iCs/>
          <w:color w:val="B8860B"/>
        </w:rPr>
        <w:t xml:space="preserve">However, this fix does not extend paper-wide — my own cross-table check in Part 2 (Section 8.1–8.2, 8.9) found that the same kind of arithmetic-consistency problem still exists between Table 4 and two other tables (Table 7 and Table 8) that didn't exist in the version Comments.pdf reviewed. See Part 2.</w:t>
      </w:r>
    </w:p>
    <w:p>
      <w:pPr>
        <w:pStyle w:val="Heading3"/>
        <w:spacing w:after="80" w:before="160"/>
      </w:pPr>
      <w:r>
        <w:t xml:space="preserve">2.5 Reproducibility (was 3/5)</w:t>
      </w:r>
    </w:p>
    <w:p>
      <w:pPr>
        <w:spacing w:after="120"/>
      </w:pPr>
      <w:r>
        <w:rPr>
          <w:b/>
          <w:bCs/>
          <w:color w:val="1E7B34"/>
        </w:rPr>
        <w:t xml:space="preserve"> [FIXED] </w:t>
      </w:r>
      <w:r>
        <w:rPr>
          <w:b/>
          <w:bCs/>
        </w:rPr>
        <w:t xml:space="preserve">Final selected threshold values never reported — </w:t>
      </w:r>
      <w:r>
        <w:t xml:space="preserve">Section 3.8 now states them explicitly: τp=0.30, τt=0.25, τi=0.30 (hmBERT).</w:t>
      </w:r>
    </w:p>
    <w:p>
      <w:pPr>
        <w:spacing w:after="120"/>
      </w:pPr>
      <w:r>
        <w:rPr>
          <w:b/>
          <w:bCs/>
          <w:color w:val="1E7B34"/>
        </w:rPr>
        <w:t xml:space="preserve"> [FIXED] </w:t>
      </w:r>
      <w:r>
        <w:rPr>
          <w:b/>
          <w:bCs/>
        </w:rPr>
        <w:t xml:space="preserve">No code/data availability statement — </w:t>
      </w:r>
      <w:r>
        <w:t xml:space="preserve">Section 4.3 now includes a GitHub link (https://github.com/amanraj74/MHIPEX).</w:t>
      </w:r>
    </w:p>
    <w:p>
      <w:pPr>
        <w:spacing w:after="120"/>
      </w:pPr>
      <w:r>
        <w:rPr>
          <w:b/>
          <w:bCs/>
          <w:color w:val="1E7B34"/>
        </w:rPr>
        <w:t xml:space="preserve"> [FIXED] </w:t>
      </w:r>
      <w:r>
        <w:rPr>
          <w:b/>
          <w:bCs/>
        </w:rPr>
        <w:t xml:space="preserve">Seeds / # runs / hardware / training &amp; inference time / single-run-or-averaged — </w:t>
      </w:r>
      <w:r>
        <w:t xml:space="preserve">Section 4.3 now specifies: 2× Tesla T4 GPUs on Kaggle, PyTorch 2.x, Transformers 4.44.2, ~35 min/model, ~3s inference over 2,081 pairs, 388M combined ensemble params, 70 min total ensemble training, seed 42 for reported numbers, and a 3-seed {42,123,7} variance check (±0.003 MR) used to argue the reported deltas exceed run-to-run noise.</w:t>
      </w:r>
    </w:p>
    <w:p>
      <w:pPr>
        <w:pStyle w:val="Heading3"/>
        <w:spacing w:after="80" w:before="160"/>
      </w:pPr>
      <w:r>
        <w:t xml:space="preserve">2.6 References (was 2.5/5)</w:t>
      </w:r>
    </w:p>
    <w:p>
      <w:pPr>
        <w:spacing w:after="120"/>
      </w:pPr>
      <w:r>
        <w:rPr>
          <w:b/>
          <w:bCs/>
          <w:color w:val="1E7B34"/>
        </w:rPr>
        <w:t xml:space="preserve"> [FIXED] </w:t>
      </w:r>
      <w:r>
        <w:rPr>
          <w:b/>
          <w:bCs/>
        </w:rPr>
        <w:t xml:space="preserve">Ref 6 (Devlin/BERT) misattributed for entity-marker RE — </w:t>
      </w:r>
      <w:r>
        <w:t xml:space="preserve">Section 2.2 now attributes the entity-marker claim to [13] (Soares et al.), which has been added to the bibliography as reference 13.</w:t>
      </w:r>
    </w:p>
    <w:p>
      <w:pPr>
        <w:spacing w:after="120"/>
      </w:pPr>
      <w:r>
        <w:rPr>
          <w:b/>
          <w:bCs/>
          <w:color w:val="1E7B34"/>
        </w:rPr>
        <w:t xml:space="preserve"> [FIXED] </w:t>
      </w:r>
      <w:r>
        <w:rPr>
          <w:b/>
          <w:bCs/>
        </w:rPr>
        <w:t xml:space="preserve">Ref 11 (Lin et al., Focal Loss) misattributed as a CE-vs-focal-loss comparative study — </w:t>
      </w:r>
      <w:r>
        <w:t xml:space="preserve">Section 2.6 now frames the CE-vs-focal-loss result as the paper's own empirical finding (+0.003 MR, Section 5.5), not as something ref 11 itself showed.</w:t>
      </w:r>
    </w:p>
    <w:p>
      <w:pPr>
        <w:spacing w:after="120"/>
      </w:pPr>
      <w:r>
        <w:rPr>
          <w:b/>
          <w:bCs/>
          <w:color w:val="1E7B34"/>
        </w:rPr>
        <w:t xml:space="preserve"> [FIXED] </w:t>
      </w:r>
      <w:r>
        <w:rPr>
          <w:b/>
          <w:bCs/>
        </w:rPr>
        <w:t xml:space="preserve">Ref 10 (Inoue, multi-sample dropout) never cited in-body — </w:t>
      </w:r>
      <w:r>
        <w:t xml:space="preserve">Section 3.6 now cites it directly: "We apply multi-sample dropout [10] with K = 3..."</w:t>
      </w:r>
    </w:p>
    <w:p>
      <w:pPr>
        <w:spacing w:after="120"/>
      </w:pPr>
      <w:r>
        <w:rPr>
          <w:b/>
          <w:bCs/>
          <w:color w:val="B00020"/>
        </w:rPr>
        <w:t xml:space="preserve"> [OPEN — new problems found] </w:t>
      </w:r>
      <w:r>
        <w:rPr>
          <w:b/>
          <w:bCs/>
        </w:rPr>
        <w:t xml:space="preserve">But two fresh reference-list defects have appeared in v21 — </w:t>
      </w:r>
      <w:r>
        <w:t xml:space="preserve">see Section 8.7–8.8 in Part 2 (an uncompiled LaTeX \bibitem leaking into the numbered list, an unresolved [?] citation in the Future Work section, and a mojibake-corrupted author name in ref 33).</w:t>
      </w:r>
    </w:p>
    <w:p>
      <w:pPr>
        <w:pStyle w:val="Heading2"/>
        <w:spacing w:after="100" w:before="220"/>
      </w:pPr>
      <w:r>
        <w:t xml:space="preserve">3. Section-wise issues</w:t>
      </w:r>
    </w:p>
    <w:p>
      <w:pPr>
        <w:spacing w:after="120"/>
      </w:pPr>
      <w:r>
        <w:rPr>
          <w:b/>
          <w:bCs/>
          <w:color w:val="1E7B34"/>
        </w:rPr>
        <w:t xml:space="preserve"> [FIXED] </w:t>
      </w:r>
      <w:r>
        <w:rPr>
          <w:b/>
          <w:bCs/>
        </w:rPr>
        <w:t xml:space="preserve">Eq. 2 / Eq. 4 symbol clash (α used for both pooling weight and ensemble weight) — </w:t>
      </w:r>
      <w:r>
        <w:t xml:space="preserve">The pooling interpolation weight is now λ (Eq. 2, λ=0.5) and the ensemble weight is now β (Eq. 5, β=0.60), exactly the fix Comments.pdf suggested.</w:t>
      </w:r>
    </w:p>
    <w:p>
      <w:pPr>
        <w:spacing w:after="120"/>
      </w:pPr>
      <w:r>
        <w:rPr>
          <w:b/>
          <w:bCs/>
          <w:color w:val="1E7B34"/>
        </w:rPr>
        <w:t xml:space="preserve"> [FIXED] </w:t>
      </w:r>
      <w:r>
        <w:rPr>
          <w:b/>
          <w:bCs/>
        </w:rPr>
        <w:t xml:space="preserve">Section 3.5/3.8 never states final calibrated τ values — </w:t>
      </w:r>
      <w:r>
        <w:t xml:space="preserve">Now stated (see 2.5 above).</w:t>
      </w:r>
    </w:p>
    <w:p>
      <w:pPr>
        <w:spacing w:after="120"/>
      </w:pPr>
      <w:r>
        <w:rPr>
          <w:b/>
          <w:bCs/>
          <w:color w:val="1E7B34"/>
        </w:rPr>
        <w:t xml:space="preserve"> [FIXED] </w:t>
      </w:r>
      <w:r>
        <w:rPr>
          <w:b/>
          <w:bCs/>
        </w:rPr>
        <w:t xml:space="preserve">Dev-set leakage (calibration tuned and evaluated on the same split) not named as a limitation near where it happens — </w:t>
      </w:r>
      <w:r>
        <w:t xml:space="preserve">Section 4.3 now flags it inline ("this is explicitly acknowledged as a limitation in Section 6") in addition to the dedicated Limitations subsection (L1, L4).</w:t>
      </w:r>
    </w:p>
    <w:p>
      <w:pPr>
        <w:spacing w:after="120"/>
      </w:pPr>
      <w:r>
        <w:rPr>
          <w:b/>
          <w:bCs/>
          <w:color w:val="B8860B"/>
        </w:rPr>
        <w:t xml:space="preserve"> [PARTIAL] </w:t>
      </w:r>
      <w:r>
        <w:rPr>
          <w:b/>
          <w:bCs/>
        </w:rPr>
        <w:t xml:space="preserve">A2/A3 (multi-sample dropout, dual pooling) show ΔMR≈0 but are still claimed as contributing — </w:t>
      </w:r>
      <w:r>
        <w:t xml:space="preserve">Table 6's caption and Section 5.4 now explain that these two components reduce seed-to-seed variance (±0.008→±0.005→±0.003 across 3 seeds) rather than raising mean MR, and frame this as a prerequisite for the later gains being "reliable rather than seed-dependent artifacts." This directly answers the comment. One gap remains: the claim is stated but the underlying 3-seed numbers for A2 and A3 individually are asserted, not shown in a table — a reviewer verifying reproducibility will want the raw per-seed MRs, not just the summary standard deviations.</w:t>
      </w:r>
    </w:p>
    <w:p>
      <w:pPr>
        <w:pStyle w:val="Heading2"/>
        <w:spacing w:after="100" w:before="220"/>
      </w:pPr>
      <w:r>
        <w:t xml:space="preserve">4. Structure / flow / heading reorganization requests</w:t>
      </w:r>
    </w:p>
    <w:p>
      <w:pPr>
        <w:spacing w:after="120"/>
      </w:pPr>
      <w:r>
        <w:rPr>
          <w:b/>
          <w:bCs/>
          <w:color w:val="1E7B34"/>
        </w:rPr>
        <w:t xml:space="preserve"> [FIXED] </w:t>
      </w:r>
      <w:r>
        <w:rPr>
          <w:b/>
          <w:bCs/>
        </w:rPr>
        <w:t xml:space="preserve">"Limitations should be its own labeled subsection, not folded into the Conclusion" — </w:t>
      </w:r>
      <w:r>
        <w:t xml:space="preserve">Section 6 is now a dedicated "Limitations and Future Work" section with explicit L1–L4 items, separate from the Conclusion (Section 7).</w:t>
      </w:r>
    </w:p>
    <w:p>
      <w:pPr>
        <w:spacing w:after="120"/>
      </w:pPr>
      <w:r>
        <w:rPr>
          <w:b/>
          <w:bCs/>
          <w:color w:val="B8860B"/>
        </w:rPr>
        <w:t xml:space="preserve"> [PARTIAL] </w:t>
      </w:r>
      <w:r>
        <w:rPr>
          <w:b/>
          <w:bCs/>
        </w:rPr>
        <w:t xml:space="preserve">"Merge per-language results (old 5.2) with cross-dataset/cross-lingual validation into one Generalization section" — </w:t>
      </w:r>
      <w:r>
        <w:t xml:space="preserve">Not merged. Per-language analysis is still its own Section 5.2, and cross-dataset/cross-lingual transfer is a separate Section 5.8. What v21 does instead is cross-reference them (5.2 → "these language-specific patterns motivate the out-of-distribution experiments in Section 5.8"), which mitigates the concern but doesn't implement the specific structural merge requested.</w:t>
      </w:r>
    </w:p>
    <w:p>
      <w:pPr>
        <w:spacing w:after="120"/>
      </w:pPr>
      <w:r>
        <w:rPr>
          <w:b/>
          <w:bCs/>
          <w:color w:val="1E7B34"/>
        </w:rPr>
        <w:t xml:space="preserve"> [FIXED] </w:t>
      </w:r>
      <w:r>
        <w:rPr>
          <w:b/>
          <w:bCs/>
        </w:rPr>
        <w:t xml:space="preserve">"Calibration mechanism described (3.8) before the results that motivate it (5.1) — needs a forward reference to the imbalance stats" — </w:t>
      </w:r>
      <w:r>
        <w:t xml:space="preserve">Section 3.8 opens with "As established in Table 2, the severe class imbalance (isAt=true at only 8.4%) causes default argmax decoding to systematically favor majority classes" — the forward reference is in place.</w:t>
      </w:r>
    </w:p>
    <w:p>
      <w:pPr>
        <w:spacing w:after="120"/>
      </w:pPr>
      <w:r>
        <w:rPr>
          <w:b/>
          <w:bCs/>
          <w:color w:val="1E7B34"/>
        </w:rPr>
        <w:t xml:space="preserve"> [FIXED] </w:t>
      </w:r>
      <w:r>
        <w:rPr>
          <w:b/>
          <w:bCs/>
        </w:rPr>
        <w:t xml:space="preserve">"XLM-R world-knowledge hypothesis raised in Sec. 2 should be explicitly flagged as testable and closed in the Conclusion" — </w:t>
      </w:r>
      <w:r>
        <w:t xml:space="preserve">Section 2.3 now says "We test this hypothesis directly in our ensemble and Knowledge Graph experiments (Sections 5 and 5.10)", and the Conclusion explicitly closes the loop: "These findings validate the hypothesis raised in Section 2 that XLM-R's broader world knowledge contributes complementary reasoning capabilities..." This is a clean, reviewer-visible fix.</w:t>
      </w:r>
    </w:p>
    <w:p>
      <w:pPr>
        <w:pStyle w:val="Heading2"/>
        <w:spacing w:after="100" w:before="220"/>
      </w:pPr>
      <w:r>
        <w:t xml:space="preserve">5. Redundancy</w:t>
      </w:r>
    </w:p>
    <w:p>
      <w:pPr>
        <w:spacing w:after="120"/>
      </w:pPr>
      <w:r>
        <w:rPr>
          <w:b/>
          <w:bCs/>
          <w:color w:val="1E7B34"/>
        </w:rPr>
        <w:t xml:space="preserve"> [FIXED] </w:t>
      </w:r>
      <w:r>
        <w:rPr>
          <w:b/>
          <w:bCs/>
        </w:rPr>
        <w:t xml:space="preserve">Old Figure 3 vs. Figure 4 redundancy (+ Figure 3's numbers didn't match Table 3) — </w:t>
      </w:r>
      <w:r>
        <w:t xml:space="preserve">Old Figure 3 has been replaced by a genuinely different per-language breakdown chart (English/French/German × MR/at/isAt). Figure 4 remains as the granular ablation chart. No overlap now.</w:t>
      </w:r>
    </w:p>
    <w:p>
      <w:pPr>
        <w:spacing w:after="120"/>
      </w:pPr>
      <w:r>
        <w:rPr>
          <w:b/>
          <w:bCs/>
          <w:color w:val="1E7B34"/>
        </w:rPr>
        <w:t xml:space="preserve"> [FIXED] </w:t>
      </w:r>
      <w:r>
        <w:rPr>
          <w:b/>
          <w:bCs/>
        </w:rPr>
        <w:t xml:space="preserve">Per-language gap (German low isAt, English competitive) repeated three times with the same numbers — </w:t>
      </w:r>
      <w:r>
        <w:t xml:space="preserve">Section 5.7 now explicitly backreferences instead of re-deriving: "As established in Section 5.2, German's single-model isAt performance was the weakest across languages (MR=0.599, well below the 0.672 ensemble average)..." One soft residual: the Figure 3 caption still restates the German pattern narratively (without numbers), which is normal captioning practice, not the flagged redundancy.</w:t>
      </w:r>
    </w:p>
    <w:p>
      <w:pPr>
        <w:spacing w:after="120"/>
      </w:pPr>
      <w:r>
        <w:rPr>
          <w:b/>
          <w:bCs/>
          <w:color w:val="1E7B34"/>
        </w:rPr>
        <w:t xml:space="preserve"> [FIXED] </w:t>
      </w:r>
      <w:r>
        <w:rPr>
          <w:b/>
          <w:bCs/>
        </w:rPr>
        <w:t xml:space="preserve">hmBERT-beats-larger-XLM-R stated twice with full re-explanation — </w:t>
      </w:r>
      <w:r>
        <w:t xml:space="preserve">Section 5.1 now cross-references rather than re-deriving: "...confirming that for this domain, historical pre-training data quality outweighs model scale (as hypothesized in Section 2)."</w:t>
      </w:r>
    </w:p>
    <w:p>
      <w:pPr>
        <w:pStyle w:val="Heading2"/>
        <w:spacing w:after="100" w:before="220"/>
      </w:pPr>
      <w:r>
        <w:t xml:space="preserve">6. "Additional" comments (stats significance, compute cost, calibration rationale)</w:t>
      </w:r>
    </w:p>
    <w:p>
      <w:pPr>
        <w:spacing w:after="120"/>
      </w:pPr>
      <w:r>
        <w:rPr>
          <w:b/>
          <w:bCs/>
          <w:color w:val="1E7B34"/>
        </w:rPr>
        <w:t xml:space="preserve"> [FIXED] </w:t>
      </w:r>
      <w:r>
        <w:rPr>
          <w:b/>
          <w:bCs/>
        </w:rPr>
        <w:t xml:space="preserve">Report variance / significance for small deltas (+0.007, +0.013 MR) — </w:t>
      </w:r>
      <w:r>
        <w:t xml:space="preserve">Section 4.3 gives 3-seed variance (±0.003); Section 5.1 adds a 1,000-iteration bootstrap 95% CI [0.548, 0.604] for RLAE vs. [0.524, 0.581] for hmBERT, and reports that RLAE beats the baseline in 86.1% of bootstrap samples while explicitly noting this "does not reach strict significance at p&lt;0.05." This is honest and well-calibrated reporting.</w:t>
      </w:r>
    </w:p>
    <w:p>
      <w:pPr>
        <w:spacing w:after="120"/>
      </w:pPr>
      <w:r>
        <w:rPr>
          <w:b/>
          <w:bCs/>
          <w:color w:val="1E7B34"/>
        </w:rPr>
        <w:t xml:space="preserve"> [FIXED] </w:t>
      </w:r>
      <w:r>
        <w:rPr>
          <w:b/>
          <w:bCs/>
        </w:rPr>
        <w:t xml:space="preserve">Discuss compute/parameter cost of the ensemble — </w:t>
      </w:r>
      <w:r>
        <w:t xml:space="preserve">Section 4.3: 388M combined parameters, 70 min total training (vs. 35 min/single model), framed explicitly as a cost-performance trade-off against the +0.024 MR gain.</w:t>
      </w:r>
    </w:p>
    <w:p>
      <w:pPr>
        <w:spacing w:after="120"/>
      </w:pPr>
      <w:r>
        <w:rPr>
          <w:b/>
          <w:bCs/>
          <w:color w:val="B8860B"/>
        </w:rPr>
        <w:t xml:space="preserve"> [PARTIAL] </w:t>
      </w:r>
      <w:r>
        <w:rPr>
          <w:b/>
          <w:bCs/>
        </w:rPr>
        <w:t xml:space="preserve">"Almost no qualitative explanation of why calibration helps this task" — </w:t>
      </w:r>
      <w:r>
        <w:t xml:space="preserve">Section 3.8 gives a one-sentence structural explanation (argmax favors majority classes under imbalance); Section 5.9's confusion-matrix discussion shows isAt recall becoming balanced (69.0% false / 65.5% true) post-calibration. This answers the mechanism but still doesn't include the qualitative flavor a reviewer likely wants — e.g., 2–3 concrete example pairs whose predicted label flips at the calibrated threshold, or a short discussion of what kind of example sits near τ=0.30. Worth adding one short qualitative paragraph or a small worked example.</w:t>
      </w:r>
    </w:p>
    <w:p>
      <w:pPr>
        <w:pStyle w:val="Heading2"/>
        <w:spacing w:after="100" w:before="220"/>
      </w:pPr>
      <w:r>
        <w:t xml:space="preserve">7. The six "Journal ideas" from Comments.pdf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shd w:fill="D9E2F3" w:val="clear"/>
          </w:tcPr>
          <w:p>
            <w:r>
              <w:rPr>
                <w:b/>
                <w:bCs/>
                <w:sz w:val="20"/>
                <w:szCs w:val="20"/>
              </w:rPr>
              <w:t xml:space="preserve">Idea</w:t>
            </w:r>
          </w:p>
        </w:tc>
        <w:tc>
          <w:tcPr>
            <w:tcW w:type="dxa" w:w="4700"/>
            <w:shd w:fill="D9E2F3" w:val="clear"/>
          </w:tcPr>
          <w:p>
            <w:r>
              <w:rPr>
                <w:b/>
                <w:bCs/>
                <w:sz w:val="20"/>
                <w:szCs w:val="20"/>
              </w:rPr>
              <w:t xml:space="preserve">Status in v21</w:t>
            </w:r>
          </w:p>
        </w:tc>
      </w:tr>
      <w:tr>
        <w:tc>
          <w:tcPr>
            <w:tcW w:type="dxa" w:w="4800"/>
          </w:tcPr>
          <w:p>
            <w:r>
              <w:rPr>
                <w:b w:val="false"/>
                <w:bCs w:val="false"/>
                <w:sz w:val="20"/>
                <w:szCs w:val="20"/>
              </w:rPr>
              <w:t xml:space="preserve">1. KG augmentation (Wikidata / GeoNames / Getty TGN / VIAF / Pelagios / CIDOC-CRM / EDM)</w:t>
            </w:r>
          </w:p>
        </w:tc>
        <w:tc>
          <w:tcPr>
            <w:tcW w:type="dxa" w:w="4700"/>
          </w:tcPr>
          <w:p>
            <w:r>
              <w:rPr>
                <w:b w:val="false"/>
                <w:bCs w:val="false"/>
                <w:sz w:val="20"/>
                <w:szCs w:val="20"/>
              </w:rPr>
              <w:t xml:space="preserve">FIXED — implemented as Section 5.10 / Table 11, exactly as sketched (E1 Wikidata, E2 GeoNames, E3 Getty TGN), plus Related Work 2.4 now cites Pelagios/Recogito, CIDOC-CRM. VIAF and EDM are name-checked in the KG-source table (Section 2.4/Table of KG suitability in Comments.pdf) but not actually used in the experiment — this is fine since only 3 sources were promised, but worth noting VIAF (aimed at the 'ambiguous name' 24% error category) is the one omitted source most tied to a specific error mode identified in the paper's own analysis.</w:t>
            </w:r>
          </w:p>
        </w:tc>
      </w:tr>
      <w:tr>
        <w:tc>
          <w:tcPr>
            <w:tcW w:type="dxa" w:w="4800"/>
          </w:tcPr>
          <w:p>
            <w:r>
              <w:rPr>
                <w:b w:val="false"/>
                <w:bCs w:val="false"/>
                <w:sz w:val="20"/>
                <w:szCs w:val="20"/>
              </w:rPr>
              <w:t xml:space="preserve">2. OCR-noise-aware robustness</w:t>
            </w:r>
          </w:p>
        </w:tc>
        <w:tc>
          <w:tcPr>
            <w:tcW w:type="dxa" w:w="4700"/>
          </w:tcPr>
          <w:p>
            <w:r>
              <w:rPr>
                <w:b w:val="false"/>
                <w:bCs w:val="false"/>
                <w:sz w:val="20"/>
                <w:szCs w:val="20"/>
              </w:rPr>
              <w:t xml:space="preserve">FIXED — Section 6, "OCR-Noise Robustness (Completed)", Table 12, a full 2×2 clean/noisy train × clean/noisy eval design almost identical to the comment's proposal. Note: the comment specifically proposed a *contrastive/consistency* training objective pulling clean and corrupted representations together, not just data augmentation. v21 implements straightforward noise augmentation (R2/R3), which is a valid and reasonable simplification, but it is not the contrastive method described in the original idea — this should be labeled as a simplified version of the idea, or the contrastive framing should be kept as a distinct future-work item (it currently isn't mentioned again at all).</w:t>
            </w:r>
          </w:p>
        </w:tc>
      </w:tr>
      <w:tr>
        <w:tc>
          <w:tcPr>
            <w:tcW w:type="dxa" w:w="4800"/>
          </w:tcPr>
          <w:p>
            <w:r>
              <w:rPr>
                <w:b w:val="false"/>
                <w:bCs w:val="false"/>
                <w:sz w:val="20"/>
                <w:szCs w:val="20"/>
              </w:rPr>
              <w:t xml:space="preserve">3. Ontology-constrained relation prediction (CIDOC-CRM as hard/soft constraints)</w:t>
            </w:r>
          </w:p>
        </w:tc>
        <w:tc>
          <w:tcPr>
            <w:tcW w:type="dxa" w:w="4700"/>
          </w:tcPr>
          <w:p>
            <w:r>
              <w:rPr>
                <w:b w:val="false"/>
                <w:bCs w:val="false"/>
                <w:sz w:val="20"/>
                <w:szCs w:val="20"/>
              </w:rPr>
              <w:t xml:space="preserve">OPEN — only named in Related Work (2.4) and the Conclusion's list of future directions. No experiment, no ablation, not even listed as a distinct Future Work item (E1–E5) the way the other four ideas are.</w:t>
            </w:r>
          </w:p>
        </w:tc>
      </w:tr>
      <w:tr>
        <w:tc>
          <w:tcPr>
            <w:tcW w:type="dxa" w:w="4800"/>
          </w:tcPr>
          <w:p>
            <w:r>
              <w:rPr>
                <w:b w:val="false"/>
                <w:bCs w:val="false"/>
                <w:sz w:val="20"/>
                <w:szCs w:val="20"/>
              </w:rPr>
              <w:t xml:space="preserve">4. Joint NER + Entity Linking + Relation Extraction</w:t>
            </w:r>
          </w:p>
        </w:tc>
        <w:tc>
          <w:tcPr>
            <w:tcW w:type="dxa" w:w="4700"/>
          </w:tcPr>
          <w:p>
            <w:r>
              <w:rPr>
                <w:b w:val="false"/>
                <w:bCs w:val="false"/>
                <w:sz w:val="20"/>
                <w:szCs w:val="20"/>
              </w:rPr>
              <w:t xml:space="preserve">PARTIAL — captured as Future Work item E4 with a clear architecture sketch, not implemented. That's an acceptable outcome for a future-work item, but note Comments.pdf treated this as one of the more 'genuinely novel' directions — if reviewers push on novelty again, this is the most likely one to be asked for a proof-of-concept.</w:t>
            </w:r>
          </w:p>
        </w:tc>
      </w:tr>
      <w:tr>
        <w:tc>
          <w:tcPr>
            <w:tcW w:type="dxa" w:w="4800"/>
          </w:tcPr>
          <w:p>
            <w:r>
              <w:rPr>
                <w:b w:val="false"/>
                <w:bCs w:val="false"/>
                <w:sz w:val="20"/>
                <w:szCs w:val="20"/>
              </w:rPr>
              <w:t xml:space="preserve">5. Retrieval-Augmented RE (RAG)</w:t>
            </w:r>
          </w:p>
        </w:tc>
        <w:tc>
          <w:tcPr>
            <w:tcW w:type="dxa" w:w="4700"/>
          </w:tcPr>
          <w:p>
            <w:r>
              <w:rPr>
                <w:b w:val="false"/>
                <w:bCs w:val="false"/>
                <w:sz w:val="20"/>
                <w:szCs w:val="20"/>
              </w:rPr>
              <w:t xml:space="preserve">PARTIAL — Future Work item E3, well-specified (SPARQL retrieval of P19/P20/P551/P39 at inference time), correctly scoped to the at relation only given the KG finding that static facts hurt isAt. Not implemented.</w:t>
            </w:r>
          </w:p>
        </w:tc>
      </w:tr>
      <w:tr>
        <w:tc>
          <w:tcPr>
            <w:tcW w:type="dxa" w:w="4800"/>
          </w:tcPr>
          <w:p>
            <w:r>
              <w:rPr>
                <w:b w:val="false"/>
                <w:bCs w:val="false"/>
                <w:sz w:val="20"/>
                <w:szCs w:val="20"/>
              </w:rPr>
              <w:t xml:space="preserve">6. GNN over document entity graph</w:t>
            </w:r>
          </w:p>
        </w:tc>
        <w:tc>
          <w:tcPr>
            <w:tcW w:type="dxa" w:w="4700"/>
          </w:tcPr>
          <w:p>
            <w:r>
              <w:rPr>
                <w:b w:val="false"/>
                <w:bCs w:val="false"/>
                <w:sz w:val="20"/>
                <w:szCs w:val="20"/>
              </w:rPr>
              <w:t xml:space="preserve">PARTIAL — Future Work item E2, well-specified (GAT over co-occurrence/proximity/dependency edges). Not implemented. Its citation is broken — see Section 8.7.</w:t>
            </w:r>
          </w:p>
        </w:tc>
      </w:tr>
    </w:tbl>
    <w:p>
      <w:pPr>
        <w:pStyle w:val="Heading1"/>
        <w:spacing w:after="150" w:before="300"/>
      </w:pPr>
      <w:r>
        <w:t xml:space="preserve">PART 2 — New issues found in v21 (not in Comments.pdf, found by cross-checking the current tables/figures/references against each other)</w:t>
      </w:r>
    </w:p>
    <w:p>
      <w:pPr>
        <w:spacing w:after="100"/>
      </w:pPr>
      <w:r>
        <w:t xml:space="preserve">These are the kind of problems a sharp reviewer finds by putting two tables side by side — exactly what caught the Table-3 errors last time. None of them are in Comments.pdf because they were introduced (or only became checkable) in this revision.</w:t>
      </w:r>
    </w:p>
    <w:p>
      <w:pPr>
        <w:pStyle w:val="Heading2"/>
        <w:spacing w:after="100" w:before="220"/>
      </w:pPr>
      <w:r>
        <w:t xml:space="preserve">8.1 Table 7 does not reconcile with Table 4 for the same model</w:t>
      </w:r>
    </w:p>
    <w:p>
      <w:pPr>
        <w:spacing w:after="100"/>
      </w:pPr>
      <w:r>
        <w:t xml:space="preserve">Table 7 ("Weighted CE (Ours)", hmBERT encoder): MR = 0.5689, at Recall = 0.4735, isAt Recall = 0.6644.</w:t>
      </w:r>
    </w:p>
    <w:p>
      <w:pPr>
        <w:spacing w:after="100"/>
      </w:pPr>
      <w:r>
        <w:t xml:space="preserve">Table 4 ("hmBERT (v12)†", Single + calib.): MR = 0.553, at = 0.450, isAt = 0.655.</w:t>
      </w:r>
    </w:p>
    <w:p>
      <w:pPr>
        <w:spacing w:after="100"/>
      </w:pPr>
      <w:r>
        <w:t xml:space="preserve">These are presented as the same model (hmBERT, weighted CE, presumably calibrated) but differ by +0.016 MR and +0.023 at recall — a gap far larger than the ±0.003 seed-noise band the paper itself established in Section 4.3. Two explanations are possible, and the paper states neither: (a) Table 7's numbers are uncalibrated (raw argmax), in which case they contradict Table 6's own finding that calibration adds +0.007 MR — since here the uncalibrated number would need to exceed the calibrated one by 0.016, the opposite direction; or (b) Table 7 used a different training configuration (e.g., more epochs, different LR schedule) that was never disclosed. Either way, this is a Table-3-style consistency problem and should be resolved before submission — either by re-running Table 7 under the exact same calibrated configuration as Table 4, or by adding an explicit caption note explaining the discrepancy (the same technique the paper already uses successfully in Table 4's own footnote).</w:t>
      </w:r>
    </w:p>
    <w:p>
      <w:pPr>
        <w:pStyle w:val="Heading2"/>
        <w:spacing w:after="100" w:before="220"/>
      </w:pPr>
      <w:r>
        <w:t xml:space="preserve">8.2 Table 8 (β-sensitivity) vs. Table 4's footnote — a smaller but real residual mismatch</w:t>
      </w:r>
    </w:p>
    <w:p>
      <w:pPr>
        <w:spacing w:after="100"/>
      </w:pPr>
      <w:r>
        <w:t xml:space="preserve">Table 4's footnote gives the unrounded values for hmBERT†: at = 0.4502, isAt = 0.6558, MR = 0.5530.</w:t>
      </w:r>
    </w:p>
    <w:p>
      <w:pPr>
        <w:spacing w:after="100"/>
      </w:pPr>
      <w:r>
        <w:t xml:space="preserve">Table 8's β=1.0 row ("hmBERT only", which should be the identical configuration) gives: at = 0.4503, isAt = 0.6548, MR = 0.5525.</w:t>
      </w:r>
    </w:p>
    <w:p>
      <w:pPr>
        <w:spacing w:after="100"/>
      </w:pPr>
      <w:r>
        <w:t xml:space="preserve">at recall matches (0.4502 vs 0.4503, rounding-level noise), but isAt recall differs by a full 0.001 (0.6558 vs 0.6548) and the resulting MR differs by 0.0005 — small in absolute terms, but this is precisely the kind of "two supposedly-identical numbers disagree at the 3rd–4th decimal" pattern that triggered the original Table-3 complaint. Since the paper now goes out of its way to show unrounded arithmetic to preempt exactly this objection, it should show it consistently — recompute Table 8's β=1.0 row from the same run/seed used for Table 4, or state explicitly why they differ (e.g., different random seed, different calibration threshold applied for the sweep vs. the main table).</w:t>
      </w:r>
    </w:p>
    <w:p>
      <w:pPr>
        <w:pStyle w:val="Heading2"/>
        <w:spacing w:after="100" w:before="220"/>
      </w:pPr>
      <w:r>
        <w:t xml:space="preserve">8.3 Figure 1 (main architecture diagram) does not depict RLAE — the paper's own flagship contribution</w:t>
      </w:r>
    </w:p>
    <w:p>
      <w:pPr>
        <w:spacing w:after="100"/>
      </w:pPr>
      <w:r>
        <w:t xml:space="preserve">Figure 1's pipeline ends at "Weighted Soft Voting (β=0.60) → Threshold Calibration → Final Predictions" — i.e., it diagrams only the fixed-β ensemble. RLAE (Section 3.10), which the abstract and conclusion both present as the paper's central novel contribution and which produces the actual best-reported system (MHIPEX-RLAE, MR=0.5767), is never shown in the architecture figure at all. A reader skimming just the figures would come away thinking the fixed-weight ensemble is the proposed system. This is worth fixing with either a second panel/branch showing per-language, per-relation β routing, or an updated Figure 1 that shows RLAE as the final fusion step instead of (or alongside) the fixed β.</w:t>
      </w:r>
    </w:p>
    <w:p>
      <w:pPr>
        <w:pStyle w:val="Heading2"/>
        <w:spacing w:after="100" w:before="220"/>
      </w:pPr>
      <w:r>
        <w:t xml:space="preserve">8.4 Grid-search granularity: Algorithm 1 / Section 3.9 vs. Table 8</w:t>
      </w:r>
    </w:p>
    <w:p>
      <w:pPr>
        <w:spacing w:after="100"/>
      </w:pPr>
      <w:r>
        <w:t xml:space="preserve">Section 3.9 and Algorithm 1 both describe the β grid search as sweeping β ∈ {0.0, 0.1, 0.2, ..., 1.0} — an 11-point grid in steps of 0.1. Table 8 (the actual reported sensitivity sweep) shows only 8 rows: 0.0, 0.2, 0.4, 0.5, 0.6, 0.7, 0.8, 1.0 — it skips 0.1, 0.3, and 0.9, and inserts an extra 0.5 that isn't on a clean 0.2-step grid either. This is a minor but visible inconsistency between the stated method and the reported results table; either Table 8 should show all 11 points (or state that it's a curated subset "near the optimum"), or the text should describe the actual irregular grid that was searched.</w:t>
      </w:r>
    </w:p>
    <w:p>
      <w:pPr>
        <w:pStyle w:val="Heading2"/>
        <w:spacing w:after="100" w:before="220"/>
      </w:pPr>
      <w:r>
        <w:t xml:space="preserve">8.5 Class-weighting formula is asserted but not shown, and the numbers don't match the literal claim</w:t>
      </w:r>
    </w:p>
    <w:p>
      <w:pPr>
        <w:spacing w:after="100"/>
      </w:pPr>
      <w:r>
        <w:t xml:space="preserve">Section 3.6 states the per-class weights ([0.80, 1.50, 2.40] for at; [0.70, 2.60] for isAt) are "inversely proportional to class frequency." Checking this against Table 2's actual class frequencies (at: 60.7/27.3/12.0%; isAt: 91.6/8.4%): a literal inverse-frequency weighting would give an at weight ratio of roughly 1 : 2.2 : 5.1 (false:probable:true) and an isAt ratio of about 1 : 10.9. The paper's actual weights give ratios of about 1 : 1.9 : 3.0 and 1 : 3.7 — both noticeably flatter than pure inverse frequency, suggesting a smoothed/capped/sqrt-scaled scheme was actually used. This isn't necessarily a mistake (capping weights is common and often better practice than raw inverse frequency), but the paper should state the actual formula used (e.g., inverse-sqrt-frequency, or manually capped) rather than describing it as simply "inversely proportional," which a careful reader can falsify by checking Table 2 against Section 3.6 directly.</w:t>
      </w:r>
    </w:p>
    <w:p>
      <w:pPr>
        <w:pStyle w:val="Heading2"/>
        <w:spacing w:after="100" w:before="220"/>
      </w:pPr>
      <w:r>
        <w:t xml:space="preserve">8.6 Getty TGN's anomalous result in the KG experiment is never discussed</w:t>
      </w:r>
    </w:p>
    <w:p>
      <w:pPr>
        <w:spacing w:after="100"/>
      </w:pPr>
      <w:r>
        <w:t xml:space="preserve">Table 11 shows Getty TGN (E3) reducing at recall (0.453) *below* the text-only baseline (0.467) — the only KG source that hurts the very relation (at, spatial) that the paper's whole narrative says static gazetteers should help. GeoNames and Wikidata both raise at recall as claimed; Getty TGN doesn't, and the paper's discussion in Section 5.10 only says "Wikidata (E1) also provides a solid spatial boost," skipping Getty TGN's at result entirely, and never explains why a specialized historical gazetteer built for exactly this domain underperforms even the no-KG baseline. Lower coverage (43% vs. 61–74%) is a plausible partial explanation but is not stated, and 43% coverage alone wouldn't obviously explain a recall *drop* rather than just a smaller gain. This gap in the analysis is likely to draw a direct question from any reviewer who reads Table 11 carefully, especially since Getty TGN is one of the more prominently recommended sources in your advisor's own comments.</w:t>
      </w:r>
    </w:p>
    <w:p>
      <w:pPr>
        <w:pStyle w:val="Heading2"/>
        <w:spacing w:after="100" w:before="220"/>
      </w:pPr>
      <w:r>
        <w:t xml:space="preserve">8.7 Broken LaTeX artifacts left in the reference list and in-text citation</w:t>
      </w:r>
    </w:p>
    <w:p>
      <w:pPr>
        <w:pStyle w:val="ListParagraph"/>
        <w:numPr>
          <w:ilvl w:val="0"/>
          <w:numId w:val="1"/>
        </w:numPr>
        <w:spacing w:after="60"/>
      </w:pPr>
      <w:r>
        <w:t xml:space="preserve">The bibliography has an entry rendered as a bare, unnumbered "bibitemvelickovic2018 Veličković, P., ... Graph Attention Networks..." sitting between reference [20] and [21] — a raw, uncompiled \bibitem macro that leaked through, and it breaks the sequential numbering of the reference list.</w:t>
      </w:r>
    </w:p>
    <w:p>
      <w:pPr>
        <w:pStyle w:val="ListParagraph"/>
        <w:numPr>
          <w:ilvl w:val="0"/>
          <w:numId w:val="1"/>
        </w:numPr>
        <w:spacing w:after="60"/>
      </w:pPr>
      <w:r>
        <w:t xml:space="preserve">Future Work item E2 cites this same paper as "a Graph Attention Network (GAT) [?]" — an unresolved LaTeX citation key that never compiled to a number. Both need to be fixed: give the Veličković et al. GAT reference a proper number and make sure \cite resolves to it.</w:t>
      </w:r>
    </w:p>
    <w:p>
      <w:pPr>
        <w:pStyle w:val="Heading2"/>
        <w:spacing w:after="100" w:before="220"/>
      </w:pPr>
      <w:r>
        <w:t xml:space="preserve">8.8 Encoding corruption in reference [33]</w:t>
      </w:r>
    </w:p>
    <w:p>
      <w:pPr>
        <w:spacing w:after="100"/>
      </w:pPr>
      <w:r>
        <w:t xml:space="preserve">Reference 33 reads "Grossner, K., Janowicz, K., KeÃŸler, C." — a UTF-8/Latin-1 mis-decoding of "Keßler" (German ß). Cosmetic but should be cleaned up before any journal submission; copyediting desks will flag this.</w:t>
      </w:r>
    </w:p>
    <w:p>
      <w:pPr>
        <w:pStyle w:val="Heading2"/>
        <w:spacing w:after="100" w:before="220"/>
      </w:pPr>
      <w:r>
        <w:t xml:space="preserve">8.9 Per-language recall values in Table 5 / Table 9 don't reconstruct the pooled Table 4 numbers by simple weighting — and the paper never explains why</w:t>
      </w:r>
    </w:p>
    <w:p>
      <w:pPr>
        <w:spacing w:after="100"/>
      </w:pPr>
      <w:r>
        <w:t xml:space="preserve">If you take Table 9's per-language RLAE at-recall values (English 0.5325, n=151; French 0.4528, n=1498; German 0.4979, n=432) and combine them with a simple pair-count-weighted average, you get ≈0.468 — not the 0.474 reported as the overall RLAE at recall in Table 4. The isAt values happen to reconcile much more closely (weighted average ≈0.678 vs. the reported 0.679). The same pattern shows up for the fixed-β ensemble: Table 5's per-language at recalls weight-average to ≈0.453 versus the pooled 0.459 in Table 4, while isAt again reconciles more closely (≈0.668 vs. 0.672).</w:t>
      </w:r>
    </w:p>
    <w:p>
      <w:pPr>
        <w:spacing w:after="100"/>
      </w:pPr>
      <w:r>
        <w:t xml:space="preserve">This is very likely not an error, but a real property of macro-recall: because MR_at is already an average of three per-class recalls, and the class mix (false/probable/true) differs by language, you cannot correctly reconstruct the global macro-recall by pair-count-weighting the already-averaged per-language macro-recalls — you'd need to pool at the class level first. Isolated recall for a binary relation like isAt is much closer to "well-behaved" under simple weighting, which is exactly the asymmetry observed. This is a genuinely subtle statistical point, but the paper doesn't explain it anywhere, and a reader who tries to sanity-check the per-language tables against the pooled results table (exactly the kind of check Comments.pdf already did once, on Table 3) will hit an apparent inconsistency. A one-sentence footnote in Section 5.2 or 5.7 — noting that pooled MR is not a simple weighted average of per-language MR because per-language class distributions differ — would preempt this.</w:t>
      </w:r>
    </w:p>
    <w:p>
      <w:pPr>
        <w:pStyle w:val="Heading1"/>
        <w:spacing w:after="150" w:before="300"/>
      </w:pPr>
      <w:r>
        <w:t xml:space="preserve">PART 3 — Remaining gaps for a genuinely "top-class" journal submission</w:t>
      </w:r>
    </w:p>
    <w:p>
      <w:pPr>
        <w:pStyle w:val="ListParagraph"/>
        <w:numPr>
          <w:ilvl w:val="0"/>
          <w:numId w:val="1"/>
        </w:numPr>
        <w:spacing w:after="60"/>
      </w:pPr>
      <w:r>
        <w:t xml:space="preserve">Run (or credibly pilot) at least one comparison against a real document/sentence-level RE architecture (Soares-style marker model is done; LUKE/SpanBERT/ATLOP/DocRED-style is still only argued away). Even a reduced adaptation would strengthen the positioning claim in Section 5.3.</w:t>
      </w:r>
    </w:p>
    <w:p>
      <w:pPr>
        <w:pStyle w:val="ListParagraph"/>
        <w:numPr>
          <w:ilvl w:val="0"/>
          <w:numId w:val="1"/>
        </w:numPr>
        <w:spacing w:after="60"/>
      </w:pPr>
      <w:r>
        <w:t xml:space="preserve">Fix the Table 7 / Table 4 and Table 8 / Table 4 arithmetic mismatches (Sections 8.1–8.2) before anything else — these are the most reviewer-visible category of problem, identical in kind to what already got flagged once.</w:t>
      </w:r>
    </w:p>
    <w:p>
      <w:pPr>
        <w:pStyle w:val="ListParagraph"/>
        <w:numPr>
          <w:ilvl w:val="0"/>
          <w:numId w:val="1"/>
        </w:numPr>
        <w:spacing w:after="60"/>
      </w:pPr>
      <w:r>
        <w:t xml:space="preserve">Add the RLAE fusion path to Figure 1, or add a second architecture figure specifically for RLAE, since it's the headline contribution and is currently invisible in the pipeline diagram.</w:t>
      </w:r>
    </w:p>
    <w:p>
      <w:pPr>
        <w:pStyle w:val="ListParagraph"/>
        <w:numPr>
          <w:ilvl w:val="0"/>
          <w:numId w:val="1"/>
        </w:numPr>
        <w:spacing w:after="60"/>
      </w:pPr>
      <w:r>
        <w:t xml:space="preserve">State the actual class-weighting formula (not just "inversely proportional to class frequency") and reconcile it with Table 2's frequencies.</w:t>
      </w:r>
    </w:p>
    <w:p>
      <w:pPr>
        <w:pStyle w:val="ListParagraph"/>
        <w:numPr>
          <w:ilvl w:val="0"/>
          <w:numId w:val="1"/>
        </w:numPr>
        <w:spacing w:after="60"/>
      </w:pPr>
      <w:r>
        <w:t xml:space="preserve">Add 2–3 sentences addressing Getty TGN's anomalous at-recall drop in the KG experiment (Section 5.10).</w:t>
      </w:r>
    </w:p>
    <w:p>
      <w:pPr>
        <w:pStyle w:val="ListParagraph"/>
        <w:numPr>
          <w:ilvl w:val="0"/>
          <w:numId w:val="1"/>
        </w:numPr>
        <w:spacing w:after="60"/>
      </w:pPr>
      <w:r>
        <w:t xml:space="preserve">Fix the two broken LaTeX citation artifacts (bibitem leak; "[?]" in Future Work E2) and the mojibake in reference 33.</w:t>
      </w:r>
    </w:p>
    <w:p>
      <w:pPr>
        <w:pStyle w:val="ListParagraph"/>
        <w:numPr>
          <w:ilvl w:val="0"/>
          <w:numId w:val="1"/>
        </w:numPr>
        <w:spacing w:after="60"/>
      </w:pPr>
      <w:r>
        <w:t xml:space="preserve">Add a short footnote explaining why pooled (Table 4) MR is not a simple weighted average of per-language MR (Tables 5, 9).</w:t>
      </w:r>
    </w:p>
    <w:p>
      <w:pPr>
        <w:pStyle w:val="ListParagraph"/>
        <w:numPr>
          <w:ilvl w:val="0"/>
          <w:numId w:val="1"/>
        </w:numPr>
        <w:spacing w:after="60"/>
      </w:pPr>
      <w:r>
        <w:t xml:space="preserve">Decide and state explicitly in a cover letter which venue strategy (Comments.pdf's option a vs. b) was taken, and verify the Hybrid-OA / SCI(E) / no-mandatory-APC constraint on whichever specific journal you land on, since journal policies change and shouldn't be assumed from the original suggestion list.</w:t>
      </w:r>
    </w:p>
    <w:p>
      <w:pPr>
        <w:pStyle w:val="ListParagraph"/>
        <w:numPr>
          <w:ilvl w:val="0"/>
          <w:numId w:val="1"/>
        </w:numPr>
        <w:spacing w:after="60"/>
      </w:pPr>
      <w:r>
        <w:t xml:space="preserve">Consider explicitly merging or at least visually grouping Section 5.2 (per-language) with Section 5.8 (cross-dataset/cross-lingual) under a single "Generalization" heading, per the original structural suggestion — the cross-references you've added help, but a reviewer who suggested a merge once may still prefer to see it actually merged.</w:t>
      </w:r>
    </w:p>
    <w:p>
      <w:pPr>
        <w:pStyle w:val="ListParagraph"/>
        <w:numPr>
          <w:ilvl w:val="0"/>
          <w:numId w:val="1"/>
        </w:numPr>
        <w:spacing w:after="60"/>
      </w:pPr>
      <w:r>
        <w:t xml:space="preserve">Strengthen the qualitative explanation of calibration's benefit with 1–2 concrete example pairs whose label flips near the learned threshold, rather than relying only on the confusion-matrix summary.</w:t>
      </w:r>
    </w:p>
    <w:p>
      <w:pPr>
        <w:pStyle w:val="ListParagraph"/>
        <w:numPr>
          <w:ilvl w:val="0"/>
          <w:numId w:val="1"/>
        </w:numPr>
        <w:spacing w:after="60"/>
      </w:pPr>
      <w:r>
        <w:t xml:space="preserve">Either implement, or explicitly demote to a clearly-labeled future-work item (E6), the ontology-constrained (CIDOC-CRM) prediction idea — right now it's the one "journal idea" from Comments.pdf that has neither an experiment nor an explicit Future-Work slot.</w:t>
      </w:r>
    </w:p>
    <w:p>
      <w:pPr>
        <w:spacing w:before="200"/>
      </w:pPr>
    </w:p>
    <w:p>
      <w:pPr>
        <w:spacing w:after="100"/>
      </w:pPr>
      <w:r>
        <w:rPr>
          <w:b/>
          <w:bCs/>
        </w:rPr>
        <w:t xml:space="preserve">Overall: this is a strong revision that closes the large majority of Comments.pdf's concerns cleanly and even implements two of the six "novel experiment" ideas in full. The remaining work is concentrated in a small number of concrete, fixable spots — mostly arithmetic reconciliation between tables and two or three sentences of missing explanation — rather than requiring another structural rewrite.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2026-07-16T08:02:58.707Z</dcterms:created>
  <dcterms:modified xsi:type="dcterms:W3CDTF">2026-07-16T08:02:58.732Z</dcterms:modified>
</cp:coreProperties>
</file>

<file path=docProps/custom.xml><?xml version="1.0" encoding="utf-8"?>
<Properties xmlns="http://schemas.openxmlformats.org/officeDocument/2006/custom-properties" xmlns:vt="http://schemas.openxmlformats.org/officeDocument/2006/docPropsVTypes"/>
</file>