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left"/>
      </w:pPr>
      <w:r>
        <w:rPr>
          <w:rFonts w:ascii="Poppins" w:cs="Poppins" w:eastAsia="Poppins" w:hAnsi="Poppins"/>
          <w:b/>
          <w:bCs/>
          <w:color w:val="EF6A35"/>
          <w:spacing w:val="20"/>
          <w:sz w:val="22"/>
          <w:szCs w:val="22"/>
        </w:rPr>
        <w:t xml:space="preserve">PRODUCT REQUIREMENTS DOCUMENT</w:t>
      </w:r>
    </w:p>
    <w:p>
      <w:pPr>
        <w:spacing w:after="0" w:before="200"/>
      </w:pPr>
      <w:r>
        <w:rPr>
          <w:rFonts w:ascii="Poppins" w:cs="Poppins" w:eastAsia="Poppins" w:hAnsi="Poppins"/>
          <w:b/>
          <w:bCs/>
          <w:color w:val="0B0F19"/>
          <w:sz w:val="72"/>
          <w:szCs w:val="72"/>
        </w:rPr>
        <w:t xml:space="preserve">SignBridge AI</w:t>
      </w:r>
    </w:p>
    <w:p>
      <w:pPr>
        <w:spacing w:after="700" w:before="100"/>
      </w:pPr>
      <w:r>
        <w:rPr>
          <w:rFonts w:ascii="Poppins" w:cs="Poppins" w:eastAsia="Poppins" w:hAnsi="Poppins"/>
          <w:color w:val="44506B"/>
          <w:sz w:val="30"/>
          <w:szCs w:val="30"/>
        </w:rPr>
        <w:t xml:space="preserve">Real-Time, On-Device Sign Language Translator</w:t>
      </w:r>
    </w:p>
    <w:p>
      <w:pPr>
        <w:pBdr>
          <w:top w:val="single" w:color="D9DCE5" w:sz="4" w:space="8"/>
        </w:pBdr>
        <w:spacing w:after="0"/>
      </w:pPr>
    </w:p>
    <w:p>
      <w:pPr>
        <w:spacing w:after="200"/>
      </w:pPr>
    </w:p>
    <w:tbl>
      <w:tblPr>
        <w:tblW w:type="dxa" w:w="9350"/>
        <w:tblBorders>
          <w:top w:val="single" w:color="D9DCE5" w:sz="4"/>
          <w:left w:val="single" w:color="D9DCE5" w:sz="4"/>
          <w:bottom w:val="single" w:color="D9DCE5" w:sz="4"/>
          <w:right w:val="single" w:color="D9DCE5" w:sz="4"/>
          <w:insideH w:val="single" w:color="D9DCE5" w:sz="4"/>
          <w:insideV w:val="single" w:color="D9DCE5" w:sz="4"/>
        </w:tblBorders>
      </w:tblPr>
      <w:tblGrid>
        <w:gridCol w:w="3000"/>
        <w:gridCol w:w="6350"/>
      </w:tblGrid>
      <w:tr>
        <w:trPr>
          <w:cantSplit/>
          <w:tblHeader/>
        </w:trPr>
        <w:tc>
          <w:tcPr>
            <w:tcW w:type="dxa" w:w="30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Field</w:t>
            </w:r>
          </w:p>
        </w:tc>
        <w:tc>
          <w:tcPr>
            <w:tcW w:type="dxa" w:w="635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w:t>
            </w:r>
          </w:p>
        </w:tc>
      </w:tr>
      <w:tr>
        <w:trPr>
          <w:cantSplit/>
        </w:trPr>
        <w:tc>
          <w:tcPr>
            <w:tcW w:type="dxa" w:w="30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Document Owner</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Product Management — SignBridge AI</w:t>
            </w:r>
          </w:p>
        </w:tc>
      </w:tr>
      <w:tr>
        <w:trPr>
          <w:cantSplit/>
        </w:trPr>
        <w:tc>
          <w:tcPr>
            <w:tcW w:type="dxa" w:w="30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Status</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Draft v1.0 — For Review</w:t>
            </w:r>
          </w:p>
        </w:tc>
      </w:tr>
      <w:tr>
        <w:trPr>
          <w:cantSplit/>
        </w:trPr>
        <w:tc>
          <w:tcPr>
            <w:tcW w:type="dxa" w:w="30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Classification</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Confidential — Internal &amp; Investor Use</w:t>
            </w:r>
          </w:p>
        </w:tc>
      </w:tr>
      <w:tr>
        <w:trPr>
          <w:cantSplit/>
        </w:trPr>
        <w:tc>
          <w:tcPr>
            <w:tcW w:type="dxa" w:w="30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Last Updated</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August 23, 2026</w:t>
            </w:r>
          </w:p>
        </w:tc>
      </w:tr>
      <w:tr>
        <w:trPr>
          <w:cantSplit/>
        </w:trPr>
        <w:tc>
          <w:tcPr>
            <w:tcW w:type="dxa" w:w="30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Reviewers</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Engineering, Design, Security, Accessibility Advisory Board</w:t>
            </w:r>
          </w:p>
        </w:tc>
      </w:tr>
      <w:tr>
        <w:trPr>
          <w:cantSplit/>
        </w:trPr>
        <w:tc>
          <w:tcPr>
            <w:tcW w:type="dxa" w:w="30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Related Docs</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Pitch Deck, Technical Architecture Spec, Security Threat Model</w:t>
            </w:r>
          </w:p>
        </w:tc>
      </w:tr>
    </w:tbl>
    <w:p>
      <w:pPr>
        <w:spacing w:after="500"/>
      </w:pPr>
    </w:p>
    <w:p>
      <w:pPr>
        <w:spacing w:after="0"/>
      </w:pPr>
      <w:r>
        <w:rPr>
          <w:rFonts w:ascii="Poppins" w:cs="Poppins" w:eastAsia="Poppins" w:hAnsi="Poppins"/>
          <w:i/>
          <w:iCs/>
          <w:color w:val="44506B"/>
          <w:sz w:val="22"/>
          <w:szCs w:val="22"/>
        </w:rPr>
        <w:t xml:space="preserve">“Bridging human connection — turning silent signs into spoken words, instantly.”</w:t>
      </w:r>
    </w:p>
    <w:p>
      <w:r>
        <w:br w:type="page"/>
      </w:r>
    </w:p>
    <w:p>
      <w:pPr>
        <w:pStyle w:val="Heading1"/>
        <w:pBdr>
          <w:bottom w:val="single" w:color="EF6A35" w:sz="12" w:space="6"/>
        </w:pBdr>
        <w:spacing w:after="200" w:before="480"/>
      </w:pPr>
      <w:r>
        <w:rPr>
          <w:rFonts w:ascii="Poppins" w:cs="Poppins" w:eastAsia="Poppins" w:hAnsi="Poppins"/>
          <w:b/>
          <w:bCs/>
          <w:color w:val="0B0F19"/>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EF6A35" w:sz="12" w:space="6"/>
        </w:pBdr>
        <w:spacing w:after="200" w:before="480"/>
      </w:pPr>
      <w:r>
        <w:rPr>
          <w:rFonts w:ascii="Poppins" w:cs="Poppins" w:eastAsia="Poppins" w:hAnsi="Poppins"/>
          <w:b/>
          <w:bCs/>
          <w:color w:val="EF6A35"/>
        </w:rPr>
        <w:t xml:space="preserve">1  </w:t>
      </w:r>
      <w:r>
        <w:rPr>
          <w:rFonts w:ascii="Poppins" w:cs="Poppins" w:eastAsia="Poppins" w:hAnsi="Poppins"/>
          <w:b/>
          <w:bCs/>
          <w:color w:val="0B0F19"/>
          <w:sz w:val="30"/>
          <w:szCs w:val="30"/>
        </w:rPr>
        <w:t xml:space="preserve">Executive Summary</w:t>
      </w:r>
    </w:p>
    <w:p>
      <w:pPr>
        <w:spacing w:after="160" w:line="300"/>
      </w:pPr>
      <w:r>
        <w:rPr>
          <w:rFonts w:ascii="Calibri" w:cs="Calibri" w:eastAsia="Calibri" w:hAnsi="Calibri"/>
          <w:color w:val="26293B"/>
          <w:sz w:val="21"/>
          <w:szCs w:val="21"/>
        </w:rPr>
        <w:t xml:space="preserve">SignBridge AI is a real-time, fully on-device sign language translator that turns any webcam or phone camera into an instant interpreter. It extracts 3D hand, face, and body keypoints using computer vision, interprets the motion sequence with a sequential deep-learning model, and instantly renders the result as written captions and natural, multilingual speech — all in under 100 milliseconds and without a single frame of raw video ever leaving the user's device.</w:t>
      </w:r>
    </w:p>
    <w:p>
      <w:pPr>
        <w:spacing w:after="160" w:line="300"/>
      </w:pPr>
      <w:r>
        <w:rPr>
          <w:rFonts w:ascii="Calibri" w:cs="Calibri" w:eastAsia="Calibri" w:hAnsi="Calibri"/>
          <w:color w:val="26293B"/>
          <w:sz w:val="21"/>
          <w:szCs w:val="21"/>
        </w:rPr>
        <w:t xml:space="preserve">There are 466 million+ people worldwide living with disabling hearing loss (WHO), and human interpreters are expensive, scarce, and rarely available on demand. SignBridge AI closes that gap with software the person already has a camera for — no gloves, no depth sensors, no cloud dependency, and no compromise on privacy.</w:t>
      </w:r>
    </w:p>
    <w:tbl>
      <w:tblPr>
        <w:tblW w:type="dxa" w:w="9350"/>
        <w:tblBorders>
          <w:top w:val="single" w:color="C44E1E" w:sz="4"/>
          <w:left w:val="single" w:color="C44E1E" w:sz="24"/>
          <w:bottom w:val="single" w:color="C44E1E" w:sz="4"/>
          <w:right w:val="single" w:color="C44E1E" w:sz="4"/>
          <w:insideH w:val="single" w:color="auto" w:sz="4"/>
          <w:insideV w:val="single" w:color="auto" w:sz="4"/>
        </w:tblBorders>
      </w:tblPr>
      <w:tblGrid>
        <w:gridCol w:w="9350"/>
      </w:tblGrid>
      <w:tr>
        <w:trPr>
          <w:cantSplit/>
        </w:trPr>
        <w:tc>
          <w:tcPr>
            <w:tcW w:type="dxa" w:w="9350"/>
            <w:shd w:fill="FBEDE6" w:val="clear"/>
            <w:tcMar>
              <w:top w:type="dxa" w:w="160"/>
              <w:left w:type="dxa" w:w="220"/>
              <w:bottom w:type="dxa" w:w="160"/>
              <w:right w:type="dxa" w:w="220"/>
            </w:tcMar>
          </w:tcPr>
          <w:p>
            <w:pPr>
              <w:spacing w:after="60"/>
            </w:pPr>
            <w:r>
              <w:rPr>
                <w:rFonts w:ascii="Poppins" w:cs="Poppins" w:eastAsia="Poppins" w:hAnsi="Poppins"/>
                <w:b/>
                <w:bCs/>
                <w:color w:val="C44E1E"/>
                <w:sz w:val="19"/>
                <w:szCs w:val="19"/>
              </w:rPr>
              <w:t xml:space="preserve">TL;DR</w:t>
            </w:r>
          </w:p>
          <w:p>
            <w:pPr>
              <w:spacing w:after="0"/>
            </w:pPr>
            <w:r>
              <w:rPr>
                <w:rFonts w:ascii="Calibri" w:cs="Calibri" w:eastAsia="Calibri" w:hAnsi="Calibri"/>
                <w:color w:val="26293B"/>
                <w:sz w:val="20"/>
                <w:szCs w:val="20"/>
              </w:rPr>
              <w:t xml:space="preserve">SignBridge AI is an on-device, privacy-first, real-time sign-to-speech/text translator, architected from day one with bank-grade security and inclusive, accessibility-first UI/UX — built to be adopted by hospitals, schools, and public-service institutions without a second thought about data risk.</w:t>
            </w:r>
          </w:p>
        </w:tc>
      </w:tr>
    </w:tbl>
    <w:p>
      <w:pPr>
        <w:spacing w:after="160"/>
      </w:pPr>
    </w:p>
    <w:p>
      <w:pPr>
        <w:pStyle w:val="Heading2"/>
        <w:spacing w:after="140" w:before="320"/>
      </w:pPr>
      <w:r>
        <w:rPr>
          <w:rFonts w:ascii="Poppins" w:cs="Poppins" w:eastAsia="Poppins" w:hAnsi="Poppins"/>
          <w:b/>
          <w:bCs/>
          <w:color w:val="1A2138"/>
          <w:sz w:val="24"/>
          <w:szCs w:val="24"/>
        </w:rPr>
        <w:t xml:space="preserve">Why Now</w:t>
      </w:r>
    </w:p>
    <w:p>
      <w:pPr>
        <w:pStyle w:val="ListParagraph"/>
        <w:numPr>
          <w:ilvl w:val="0"/>
          <w:numId w:val="2"/>
        </w:numPr>
        <w:spacing w:after="90" w:line="290"/>
      </w:pPr>
      <w:r>
        <w:rPr>
          <w:rFonts w:ascii="Calibri" w:cs="Calibri" w:eastAsia="Calibri" w:hAnsi="Calibri"/>
          <w:color w:val="26293B"/>
          <w:sz w:val="21"/>
          <w:szCs w:val="21"/>
        </w:rPr>
        <w:t xml:space="preserve">On-device ML has crossed the usability threshold: MediaPipe- and LSTM-class models now run in real time on commodity laptops and phones — no GPU cluster required.</w:t>
      </w:r>
    </w:p>
    <w:p>
      <w:pPr>
        <w:pStyle w:val="ListParagraph"/>
        <w:numPr>
          <w:ilvl w:val="0"/>
          <w:numId w:val="2"/>
        </w:numPr>
        <w:spacing w:after="90" w:line="290"/>
      </w:pPr>
      <w:r>
        <w:rPr>
          <w:rFonts w:ascii="Calibri" w:cs="Calibri" w:eastAsia="Calibri" w:hAnsi="Calibri"/>
          <w:color w:val="26293B"/>
          <w:sz w:val="21"/>
          <w:szCs w:val="21"/>
        </w:rPr>
        <w:t xml:space="preserve">Accessibility is shifting from “nice to have” to a compliance requirement across healthcare, education, and public services in multiple jurisdictions.</w:t>
      </w:r>
    </w:p>
    <w:p>
      <w:pPr>
        <w:pStyle w:val="ListParagraph"/>
        <w:numPr>
          <w:ilvl w:val="0"/>
          <w:numId w:val="2"/>
        </w:numPr>
        <w:spacing w:after="90" w:line="290"/>
      </w:pPr>
      <w:r>
        <w:rPr>
          <w:rFonts w:ascii="Calibri" w:cs="Calibri" w:eastAsia="Calibri" w:hAnsi="Calibri"/>
          <w:color w:val="26293B"/>
          <w:sz w:val="21"/>
          <w:szCs w:val="21"/>
        </w:rPr>
        <w:t xml:space="preserve">Privacy regulation (GDPR, India's DPDP Act, HIPAA) increasingly penalizes cloud-first video pipelines — an on-device architecture is a genuine competitive moat, not just a feature.</w:t>
      </w:r>
    </w:p>
    <w:p>
      <w:pPr>
        <w:pStyle w:val="Heading1"/>
        <w:pBdr>
          <w:bottom w:val="single" w:color="EF6A35" w:sz="12" w:space="6"/>
        </w:pBdr>
        <w:spacing w:after="200" w:before="480"/>
      </w:pPr>
      <w:r>
        <w:rPr>
          <w:rFonts w:ascii="Poppins" w:cs="Poppins" w:eastAsia="Poppins" w:hAnsi="Poppins"/>
          <w:b/>
          <w:bCs/>
          <w:color w:val="EF6A35"/>
        </w:rPr>
        <w:t xml:space="preserve">2  </w:t>
      </w:r>
      <w:r>
        <w:rPr>
          <w:rFonts w:ascii="Poppins" w:cs="Poppins" w:eastAsia="Poppins" w:hAnsi="Poppins"/>
          <w:b/>
          <w:bCs/>
          <w:color w:val="0B0F19"/>
          <w:sz w:val="30"/>
          <w:szCs w:val="30"/>
        </w:rPr>
        <w:t xml:space="preserve">Problem Statement</w:t>
      </w:r>
    </w:p>
    <w:p>
      <w:pPr>
        <w:spacing w:after="160" w:line="300"/>
      </w:pPr>
      <w:r>
        <w:rPr>
          <w:rFonts w:ascii="Calibri" w:cs="Calibri" w:eastAsia="Calibri" w:hAnsi="Calibri"/>
          <w:color w:val="26293B"/>
          <w:sz w:val="21"/>
          <w:szCs w:val="21"/>
        </w:rPr>
        <w:t xml:space="preserve">Deaf and mute individuals face daily communication barriers in exactly the moments that matter most — a hospital triage desk, a classroom, a bank counter, a courtroom. Today's options are all imperfect:</w:t>
      </w:r>
    </w:p>
    <w:p>
      <w:pPr>
        <w:pStyle w:val="ListParagraph"/>
        <w:numPr>
          <w:ilvl w:val="0"/>
          <w:numId w:val="2"/>
        </w:numPr>
        <w:spacing w:after="100" w:line="290"/>
      </w:pPr>
      <w:r>
        <w:rPr>
          <w:rFonts w:ascii="Calibri" w:cs="Calibri" w:eastAsia="Calibri" w:hAnsi="Calibri"/>
          <w:b/>
          <w:bCs/>
          <w:color w:val="0B0F19"/>
          <w:sz w:val="21"/>
          <w:szCs w:val="21"/>
        </w:rPr>
        <w:t xml:space="preserve">Human interpreters  </w:t>
      </w:r>
      <w:r>
        <w:rPr>
          <w:rFonts w:ascii="Calibri" w:cs="Calibri" w:eastAsia="Calibri" w:hAnsi="Calibri"/>
          <w:color w:val="26293B"/>
          <w:sz w:val="21"/>
          <w:szCs w:val="21"/>
        </w:rPr>
        <w:t xml:space="preserve">are skilled but scarce, expensive, and almost never available on-demand or outside scheduled hours.</w:t>
      </w:r>
    </w:p>
    <w:p>
      <w:pPr>
        <w:pStyle w:val="ListParagraph"/>
        <w:numPr>
          <w:ilvl w:val="0"/>
          <w:numId w:val="2"/>
        </w:numPr>
        <w:spacing w:after="100" w:line="290"/>
      </w:pPr>
      <w:r>
        <w:rPr>
          <w:rFonts w:ascii="Calibri" w:cs="Calibri" w:eastAsia="Calibri" w:hAnsi="Calibri"/>
          <w:b/>
          <w:bCs/>
          <w:color w:val="0B0F19"/>
          <w:sz w:val="21"/>
          <w:szCs w:val="21"/>
        </w:rPr>
        <w:t xml:space="preserve">General public sign-language literacy  </w:t>
      </w:r>
      <w:r>
        <w:rPr>
          <w:rFonts w:ascii="Calibri" w:cs="Calibri" w:eastAsia="Calibri" w:hAnsi="Calibri"/>
          <w:color w:val="26293B"/>
          <w:sz w:val="21"/>
          <w:szCs w:val="21"/>
        </w:rPr>
        <w:t xml:space="preserve">is very low, so day-to-day interactions default to written notes, guesswork, or a companion acting as go-between.</w:t>
      </w:r>
    </w:p>
    <w:p>
      <w:pPr>
        <w:pStyle w:val="ListParagraph"/>
        <w:numPr>
          <w:ilvl w:val="0"/>
          <w:numId w:val="2"/>
        </w:numPr>
        <w:spacing w:after="100" w:line="290"/>
      </w:pPr>
      <w:r>
        <w:rPr>
          <w:rFonts w:ascii="Calibri" w:cs="Calibri" w:eastAsia="Calibri" w:hAnsi="Calibri"/>
          <w:b/>
          <w:bCs/>
          <w:color w:val="0B0F19"/>
          <w:sz w:val="21"/>
          <w:szCs w:val="21"/>
        </w:rPr>
        <w:t xml:space="preserve">Existing apps  </w:t>
      </w:r>
      <w:r>
        <w:rPr>
          <w:rFonts w:ascii="Calibri" w:cs="Calibri" w:eastAsia="Calibri" w:hAnsi="Calibri"/>
          <w:color w:val="26293B"/>
          <w:sz w:val="21"/>
          <w:szCs w:val="21"/>
        </w:rPr>
        <w:t xml:space="preserve">typically recognize only static poses or isolated words, require special hardware, or route raw video to the cloud — creating both a poor user experience and a privacy liability.</w:t>
      </w:r>
    </w:p>
    <w:p>
      <w:pPr>
        <w:spacing w:after="80"/>
      </w:pPr>
    </w:p>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rPr>
          <w:cantSplit/>
        </w:trPr>
        <w:tc>
          <w:tcPr>
            <w:tcW w:type="dxa" w:w="9350"/>
            <w:shd w:fill="FDEDEC" w:val="clear"/>
            <w:tcMar>
              <w:top w:type="dxa" w:w="160"/>
              <w:left w:type="dxa" w:w="220"/>
              <w:bottom w:type="dxa" w:w="160"/>
              <w:right w:type="dxa" w:w="220"/>
            </w:tcMar>
          </w:tcPr>
          <w:p>
            <w:pPr>
              <w:spacing w:after="60"/>
            </w:pPr>
            <w:r>
              <w:rPr>
                <w:rFonts w:ascii="Poppins" w:cs="Poppins" w:eastAsia="Poppins" w:hAnsi="Poppins"/>
                <w:b/>
                <w:bCs/>
                <w:color w:val="C0392B"/>
                <w:sz w:val="19"/>
                <w:szCs w:val="19"/>
              </w:rPr>
              <w:t xml:space="preserve">The Cost of Doing Nothing</w:t>
            </w:r>
          </w:p>
          <w:p>
            <w:pPr>
              <w:spacing w:after="0"/>
            </w:pPr>
            <w:r>
              <w:rPr>
                <w:rFonts w:ascii="Calibri" w:cs="Calibri" w:eastAsia="Calibri" w:hAnsi="Calibri"/>
                <w:color w:val="26293B"/>
                <w:sz w:val="20"/>
                <w:szCs w:val="20"/>
              </w:rPr>
              <w:t xml:space="preserve">Every day this gap persists, patients mis-describe symptoms, students disengage from lessons they cannot follow, and citizens are denied equal access to public services — a solvable problem given today's on-device AI.</w:t>
            </w:r>
          </w:p>
        </w:tc>
      </w:tr>
    </w:tbl>
    <w:p>
      <w:pPr>
        <w:pStyle w:val="Heading1"/>
        <w:pBdr>
          <w:bottom w:val="single" w:color="EF6A35" w:sz="12" w:space="6"/>
        </w:pBdr>
        <w:spacing w:after="200" w:before="480"/>
      </w:pPr>
      <w:r>
        <w:rPr>
          <w:rFonts w:ascii="Poppins" w:cs="Poppins" w:eastAsia="Poppins" w:hAnsi="Poppins"/>
          <w:b/>
          <w:bCs/>
          <w:color w:val="EF6A35"/>
        </w:rPr>
        <w:t xml:space="preserve">3  </w:t>
      </w:r>
      <w:r>
        <w:rPr>
          <w:rFonts w:ascii="Poppins" w:cs="Poppins" w:eastAsia="Poppins" w:hAnsi="Poppins"/>
          <w:b/>
          <w:bCs/>
          <w:color w:val="0B0F19"/>
          <w:sz w:val="30"/>
          <w:szCs w:val="30"/>
        </w:rPr>
        <w:t xml:space="preserve">Goals &amp; Objectives</w:t>
      </w:r>
    </w:p>
    <w:p>
      <w:pPr>
        <w:pStyle w:val="Heading2"/>
        <w:spacing w:after="140" w:before="320"/>
      </w:pPr>
      <w:r>
        <w:rPr>
          <w:rFonts w:ascii="Poppins" w:cs="Poppins" w:eastAsia="Poppins" w:hAnsi="Poppins"/>
          <w:b/>
          <w:bCs/>
          <w:color w:val="1A2138"/>
          <w:sz w:val="24"/>
          <w:szCs w:val="24"/>
        </w:rPr>
        <w:t xml:space="preserve">Product Goals</w:t>
      </w:r>
    </w:p>
    <w:p>
      <w:pPr>
        <w:pStyle w:val="ListParagraph"/>
        <w:numPr>
          <w:ilvl w:val="0"/>
          <w:numId w:val="2"/>
        </w:numPr>
        <w:spacing w:after="90" w:line="290"/>
      </w:pPr>
      <w:r>
        <w:rPr>
          <w:rFonts w:ascii="Calibri" w:cs="Calibri" w:eastAsia="Calibri" w:hAnsi="Calibri"/>
          <w:color w:val="26293B"/>
          <w:sz w:val="21"/>
          <w:szCs w:val="21"/>
        </w:rPr>
        <w:t xml:space="preserve">Deliver real-time (&lt; 100 ms) gesture-to-text and gesture-to-speech translation using only a standard camera.</w:t>
      </w:r>
    </w:p>
    <w:p>
      <w:pPr>
        <w:pStyle w:val="ListParagraph"/>
        <w:numPr>
          <w:ilvl w:val="0"/>
          <w:numId w:val="2"/>
        </w:numPr>
        <w:spacing w:after="90" w:line="290"/>
      </w:pPr>
      <w:r>
        <w:rPr>
          <w:rFonts w:ascii="Calibri" w:cs="Calibri" w:eastAsia="Calibri" w:hAnsi="Calibri"/>
          <w:color w:val="26293B"/>
          <w:sz w:val="21"/>
          <w:szCs w:val="21"/>
        </w:rPr>
        <w:t xml:space="preserve">Guarantee that no raw video is ever stored or transmitted — privacy is a hard architectural constraint, not a policy promise.</w:t>
      </w:r>
    </w:p>
    <w:p>
      <w:pPr>
        <w:pStyle w:val="ListParagraph"/>
        <w:numPr>
          <w:ilvl w:val="0"/>
          <w:numId w:val="2"/>
        </w:numPr>
        <w:spacing w:after="90" w:line="290"/>
      </w:pPr>
      <w:r>
        <w:rPr>
          <w:rFonts w:ascii="Calibri" w:cs="Calibri" w:eastAsia="Calibri" w:hAnsi="Calibri"/>
          <w:color w:val="26293B"/>
          <w:sz w:val="21"/>
          <w:szCs w:val="21"/>
        </w:rPr>
        <w:t xml:space="preserve">Ship an interface usable by first-time users — deaf, hearing, adult, or child — with zero training required.</w:t>
      </w:r>
    </w:p>
    <w:p>
      <w:pPr>
        <w:pStyle w:val="ListParagraph"/>
        <w:numPr>
          <w:ilvl w:val="0"/>
          <w:numId w:val="2"/>
        </w:numPr>
        <w:spacing w:after="90" w:line="290"/>
      </w:pPr>
      <w:r>
        <w:rPr>
          <w:rFonts w:ascii="Calibri" w:cs="Calibri" w:eastAsia="Calibri" w:hAnsi="Calibri"/>
          <w:color w:val="26293B"/>
          <w:sz w:val="21"/>
          <w:szCs w:val="21"/>
        </w:rPr>
        <w:t xml:space="preserve">Support multiple spoken/written output languages, starting with Hindi and English.</w:t>
      </w:r>
    </w:p>
    <w:p>
      <w:pPr>
        <w:pStyle w:val="Heading2"/>
        <w:spacing w:after="140" w:before="320"/>
      </w:pPr>
      <w:r>
        <w:rPr>
          <w:rFonts w:ascii="Poppins" w:cs="Poppins" w:eastAsia="Poppins" w:hAnsi="Poppins"/>
          <w:b/>
          <w:bCs/>
          <w:color w:val="1A2138"/>
          <w:sz w:val="24"/>
          <w:szCs w:val="24"/>
        </w:rPr>
        <w:t xml:space="preserve">Business Goals</w:t>
      </w:r>
    </w:p>
    <w:p>
      <w:pPr>
        <w:pStyle w:val="ListParagraph"/>
        <w:numPr>
          <w:ilvl w:val="0"/>
          <w:numId w:val="2"/>
        </w:numPr>
        <w:spacing w:after="90" w:line="290"/>
      </w:pPr>
      <w:r>
        <w:rPr>
          <w:rFonts w:ascii="Calibri" w:cs="Calibri" w:eastAsia="Calibri" w:hAnsi="Calibri"/>
          <w:color w:val="26293B"/>
          <w:sz w:val="21"/>
          <w:szCs w:val="21"/>
        </w:rPr>
        <w:t xml:space="preserve">Reach 3 flagship institutional pilots (1 hospital, 1 school, 1 public-service office) within 2 quarters of GA.</w:t>
      </w:r>
    </w:p>
    <w:p>
      <w:pPr>
        <w:pStyle w:val="ListParagraph"/>
        <w:numPr>
          <w:ilvl w:val="0"/>
          <w:numId w:val="2"/>
        </w:numPr>
        <w:spacing w:after="90" w:line="290"/>
      </w:pPr>
      <w:r>
        <w:rPr>
          <w:rFonts w:ascii="Calibri" w:cs="Calibri" w:eastAsia="Calibri" w:hAnsi="Calibri"/>
          <w:color w:val="26293B"/>
          <w:sz w:val="21"/>
          <w:szCs w:val="21"/>
        </w:rPr>
        <w:t xml:space="preserve">Establish SignBridge as the reference “privacy-safe” accessibility AI brand ahead of cloud-dependent competitors.</w:t>
      </w:r>
    </w:p>
    <w:p>
      <w:pPr>
        <w:pStyle w:val="ListParagraph"/>
        <w:numPr>
          <w:ilvl w:val="0"/>
          <w:numId w:val="2"/>
        </w:numPr>
        <w:spacing w:after="90" w:line="290"/>
      </w:pPr>
      <w:r>
        <w:rPr>
          <w:rFonts w:ascii="Calibri" w:cs="Calibri" w:eastAsia="Calibri" w:hAnsi="Calibri"/>
          <w:color w:val="26293B"/>
          <w:sz w:val="21"/>
          <w:szCs w:val="21"/>
        </w:rPr>
        <w:t xml:space="preserve">Build a defensible data + accuracy moat via opt-in, anonymized, on-device model-improvement feedback loops.</w:t>
      </w:r>
    </w:p>
    <w:p>
      <w:pPr>
        <w:pStyle w:val="Heading2"/>
        <w:spacing w:after="140" w:before="320"/>
      </w:pPr>
      <w:r>
        <w:rPr>
          <w:rFonts w:ascii="Poppins" w:cs="Poppins" w:eastAsia="Poppins" w:hAnsi="Poppins"/>
          <w:b/>
          <w:bCs/>
          <w:color w:val="1A2138"/>
          <w:sz w:val="24"/>
          <w:szCs w:val="24"/>
        </w:rPr>
        <w:t xml:space="preserve">Non-Goals (Out of Scope for v1)</w:t>
      </w:r>
    </w:p>
    <w:p>
      <w:pPr>
        <w:pStyle w:val="ListParagraph"/>
        <w:numPr>
          <w:ilvl w:val="0"/>
          <w:numId w:val="2"/>
        </w:numPr>
        <w:spacing w:after="90" w:line="290"/>
      </w:pPr>
      <w:r>
        <w:rPr>
          <w:rFonts w:ascii="Calibri" w:cs="Calibri" w:eastAsia="Calibri" w:hAnsi="Calibri"/>
          <w:color w:val="26293B"/>
          <w:sz w:val="21"/>
          <w:szCs w:val="21"/>
        </w:rPr>
        <w:t xml:space="preserve">Full sign-language-to-sign-language translation between two deaf users (v1 targets deaf ↔ hearing communication).</w:t>
      </w:r>
    </w:p>
    <w:p>
      <w:pPr>
        <w:pStyle w:val="ListParagraph"/>
        <w:numPr>
          <w:ilvl w:val="0"/>
          <w:numId w:val="2"/>
        </w:numPr>
        <w:spacing w:after="90" w:line="290"/>
      </w:pPr>
      <w:r>
        <w:rPr>
          <w:rFonts w:ascii="Calibri" w:cs="Calibri" w:eastAsia="Calibri" w:hAnsi="Calibri"/>
          <w:color w:val="26293B"/>
          <w:sz w:val="21"/>
          <w:szCs w:val="21"/>
        </w:rPr>
        <w:t xml:space="preserve">Support for every national sign language at launch — v1 focuses on ISL/ASL with an extensible model pipeline.</w:t>
      </w:r>
    </w:p>
    <w:p>
      <w:pPr>
        <w:pStyle w:val="ListParagraph"/>
        <w:numPr>
          <w:ilvl w:val="0"/>
          <w:numId w:val="2"/>
        </w:numPr>
        <w:spacing w:after="90" w:line="290"/>
      </w:pPr>
      <w:r>
        <w:rPr>
          <w:rFonts w:ascii="Calibri" w:cs="Calibri" w:eastAsia="Calibri" w:hAnsi="Calibri"/>
          <w:color w:val="26293B"/>
          <w:sz w:val="21"/>
          <w:szCs w:val="21"/>
        </w:rPr>
        <w:t xml:space="preserve">Offline model retraining on-device (training happens centrally; only inference is on-device).</w:t>
      </w:r>
    </w:p>
    <w:p>
      <w:r>
        <w:br w:type="page"/>
      </w:r>
    </w:p>
    <w:p>
      <w:pPr>
        <w:pStyle w:val="Heading1"/>
        <w:pBdr>
          <w:bottom w:val="single" w:color="EF6A35" w:sz="12" w:space="6"/>
        </w:pBdr>
        <w:spacing w:after="200" w:before="480"/>
      </w:pPr>
      <w:r>
        <w:rPr>
          <w:rFonts w:ascii="Poppins" w:cs="Poppins" w:eastAsia="Poppins" w:hAnsi="Poppins"/>
          <w:b/>
          <w:bCs/>
          <w:color w:val="EF6A35"/>
        </w:rPr>
        <w:t xml:space="preserve">4  </w:t>
      </w:r>
      <w:r>
        <w:rPr>
          <w:rFonts w:ascii="Poppins" w:cs="Poppins" w:eastAsia="Poppins" w:hAnsi="Poppins"/>
          <w:b/>
          <w:bCs/>
          <w:color w:val="0B0F19"/>
          <w:sz w:val="30"/>
          <w:szCs w:val="30"/>
        </w:rPr>
        <w:t xml:space="preserve">Target Users &amp; Personas</w:t>
      </w:r>
    </w:p>
    <w:p>
      <w:pPr>
        <w:pStyle w:val="Heading3"/>
        <w:spacing w:after="100" w:before="220"/>
      </w:pPr>
      <w:r>
        <w:rPr>
          <w:rFonts w:ascii="Poppins" w:cs="Poppins" w:eastAsia="Poppins" w:hAnsi="Poppins"/>
          <w:b/>
          <w:bCs/>
          <w:color w:val="C44E1E"/>
          <w:sz w:val="21"/>
          <w:szCs w:val="21"/>
        </w:rPr>
        <w:t xml:space="preserve">Persona 1 — Ananya, 24, Deaf Patient</w:t>
      </w:r>
    </w:p>
    <w:p>
      <w:pPr>
        <w:spacing w:after="160" w:line="300"/>
      </w:pPr>
      <w:r>
        <w:rPr>
          <w:rFonts w:ascii="Calibri" w:cs="Calibri" w:eastAsia="Calibri" w:hAnsi="Calibri"/>
          <w:color w:val="26293B"/>
          <w:sz w:val="21"/>
          <w:szCs w:val="21"/>
        </w:rPr>
        <w:t xml:space="preserve">Visits a hospital for a routine consultation. Wants to describe symptoms accurately and understand the doctor's instructions without waiting for an interpreter to be scheduled.</w:t>
      </w:r>
    </w:p>
    <w:p>
      <w:pPr>
        <w:pStyle w:val="ListParagraph"/>
        <w:numPr>
          <w:ilvl w:val="0"/>
          <w:numId w:val="2"/>
        </w:numPr>
        <w:spacing w:after="100" w:line="290"/>
      </w:pPr>
      <w:r>
        <w:rPr>
          <w:rFonts w:ascii="Calibri" w:cs="Calibri" w:eastAsia="Calibri" w:hAnsi="Calibri"/>
          <w:b/>
          <w:bCs/>
          <w:color w:val="0B0F19"/>
          <w:sz w:val="21"/>
          <w:szCs w:val="21"/>
        </w:rPr>
        <w:t xml:space="preserve">Needs:  </w:t>
      </w:r>
      <w:r>
        <w:rPr>
          <w:rFonts w:ascii="Calibri" w:cs="Calibri" w:eastAsia="Calibri" w:hAnsi="Calibri"/>
          <w:color w:val="26293B"/>
          <w:sz w:val="21"/>
          <w:szCs w:val="21"/>
        </w:rPr>
        <w:t xml:space="preserve">instant, accurate translation; large, legible captions; a calm, unintimidating interface she can use one-handed while holding a phone up.</w:t>
      </w:r>
    </w:p>
    <w:p>
      <w:pPr>
        <w:pStyle w:val="Heading3"/>
        <w:spacing w:after="100" w:before="220"/>
      </w:pPr>
      <w:r>
        <w:rPr>
          <w:rFonts w:ascii="Poppins" w:cs="Poppins" w:eastAsia="Poppins" w:hAnsi="Poppins"/>
          <w:b/>
          <w:bCs/>
          <w:color w:val="C44E1E"/>
          <w:sz w:val="21"/>
          <w:szCs w:val="21"/>
        </w:rPr>
        <w:t xml:space="preserve">Persona 2 — Mr. Rathi, 51, Front-Desk Officer</w:t>
      </w:r>
    </w:p>
    <w:p>
      <w:pPr>
        <w:spacing w:after="160" w:line="300"/>
      </w:pPr>
      <w:r>
        <w:rPr>
          <w:rFonts w:ascii="Calibri" w:cs="Calibri" w:eastAsia="Calibri" w:hAnsi="Calibri"/>
          <w:color w:val="26293B"/>
          <w:sz w:val="21"/>
          <w:szCs w:val="21"/>
        </w:rPr>
        <w:t xml:space="preserve">Works at a government service counter and encounters deaf visitors a few times a month. Has no sign-language training.</w:t>
      </w:r>
    </w:p>
    <w:p>
      <w:pPr>
        <w:pStyle w:val="ListParagraph"/>
        <w:numPr>
          <w:ilvl w:val="0"/>
          <w:numId w:val="2"/>
        </w:numPr>
        <w:spacing w:after="100" w:line="290"/>
      </w:pPr>
      <w:r>
        <w:rPr>
          <w:rFonts w:ascii="Calibri" w:cs="Calibri" w:eastAsia="Calibri" w:hAnsi="Calibri"/>
          <w:b/>
          <w:bCs/>
          <w:color w:val="0B0F19"/>
          <w:sz w:val="21"/>
          <w:szCs w:val="21"/>
        </w:rPr>
        <w:t xml:space="preserve">Needs:  </w:t>
      </w:r>
      <w:r>
        <w:rPr>
          <w:rFonts w:ascii="Calibri" w:cs="Calibri" w:eastAsia="Calibri" w:hAnsi="Calibri"/>
          <w:color w:val="26293B"/>
          <w:sz w:val="21"/>
          <w:szCs w:val="21"/>
        </w:rPr>
        <w:t xml:space="preserve">zero-setup speech output he can simply listen to; confidence that the tool is officially sanctioned and secure to use with citizens' data.</w:t>
      </w:r>
    </w:p>
    <w:p>
      <w:pPr>
        <w:pStyle w:val="Heading3"/>
        <w:spacing w:after="100" w:before="220"/>
      </w:pPr>
      <w:r>
        <w:rPr>
          <w:rFonts w:ascii="Poppins" w:cs="Poppins" w:eastAsia="Poppins" w:hAnsi="Poppins"/>
          <w:b/>
          <w:bCs/>
          <w:color w:val="C44E1E"/>
          <w:sz w:val="21"/>
          <w:szCs w:val="21"/>
        </w:rPr>
        <w:t xml:space="preserve">Persona 3 — Priya, 34, Special-Education Teacher</w:t>
      </w:r>
    </w:p>
    <w:p>
      <w:pPr>
        <w:spacing w:after="160" w:line="300"/>
      </w:pPr>
      <w:r>
        <w:rPr>
          <w:rFonts w:ascii="Calibri" w:cs="Calibri" w:eastAsia="Calibri" w:hAnsi="Calibri"/>
          <w:color w:val="26293B"/>
          <w:sz w:val="21"/>
          <w:szCs w:val="21"/>
        </w:rPr>
        <w:t xml:space="preserve">Wants to make her classroom accessible to a deaf student without singling them out, and to track engagement over a term.</w:t>
      </w:r>
    </w:p>
    <w:p>
      <w:pPr>
        <w:pStyle w:val="ListParagraph"/>
        <w:numPr>
          <w:ilvl w:val="0"/>
          <w:numId w:val="2"/>
        </w:numPr>
        <w:spacing w:after="100" w:line="290"/>
      </w:pPr>
      <w:r>
        <w:rPr>
          <w:rFonts w:ascii="Calibri" w:cs="Calibri" w:eastAsia="Calibri" w:hAnsi="Calibri"/>
          <w:b/>
          <w:bCs/>
          <w:color w:val="0B0F19"/>
          <w:sz w:val="21"/>
          <w:szCs w:val="21"/>
        </w:rPr>
        <w:t xml:space="preserve">Needs:  </w:t>
      </w:r>
      <w:r>
        <w:rPr>
          <w:rFonts w:ascii="Calibri" w:cs="Calibri" w:eastAsia="Calibri" w:hAnsi="Calibri"/>
          <w:color w:val="26293B"/>
          <w:sz w:val="21"/>
          <w:szCs w:val="21"/>
        </w:rPr>
        <w:t xml:space="preserve">a classroom-friendly mode, session history for progress review, and an institutional admin dashboard with strong access controls.</w:t>
      </w:r>
    </w:p>
    <w:p>
      <w:pPr>
        <w:pStyle w:val="Heading3"/>
        <w:spacing w:after="100" w:before="220"/>
      </w:pPr>
      <w:r>
        <w:rPr>
          <w:rFonts w:ascii="Poppins" w:cs="Poppins" w:eastAsia="Poppins" w:hAnsi="Poppins"/>
          <w:b/>
          <w:bCs/>
          <w:color w:val="C44E1E"/>
          <w:sz w:val="21"/>
          <w:szCs w:val="21"/>
        </w:rPr>
        <w:t xml:space="preserve">Persona 4 — Institutional IT/Security Officer</w:t>
      </w:r>
    </w:p>
    <w:p>
      <w:pPr>
        <w:spacing w:after="160" w:line="300"/>
      </w:pPr>
      <w:r>
        <w:rPr>
          <w:rFonts w:ascii="Calibri" w:cs="Calibri" w:eastAsia="Calibri" w:hAnsi="Calibri"/>
          <w:color w:val="26293B"/>
          <w:sz w:val="21"/>
          <w:szCs w:val="21"/>
        </w:rPr>
        <w:t xml:space="preserve">Evaluates any new software before it touches a hospital or school network.</w:t>
      </w:r>
    </w:p>
    <w:p>
      <w:pPr>
        <w:pStyle w:val="ListParagraph"/>
        <w:numPr>
          <w:ilvl w:val="0"/>
          <w:numId w:val="2"/>
        </w:numPr>
        <w:spacing w:after="100" w:line="290"/>
      </w:pPr>
      <w:r>
        <w:rPr>
          <w:rFonts w:ascii="Calibri" w:cs="Calibri" w:eastAsia="Calibri" w:hAnsi="Calibri"/>
          <w:b/>
          <w:bCs/>
          <w:color w:val="0B0F19"/>
          <w:sz w:val="21"/>
          <w:szCs w:val="21"/>
        </w:rPr>
        <w:t xml:space="preserve">Needs:  </w:t>
      </w:r>
      <w:r>
        <w:rPr>
          <w:rFonts w:ascii="Calibri" w:cs="Calibri" w:eastAsia="Calibri" w:hAnsi="Calibri"/>
          <w:color w:val="26293B"/>
          <w:sz w:val="21"/>
          <w:szCs w:val="21"/>
        </w:rPr>
        <w:t xml:space="preserve">a clear data-flow diagram, proof that no video leaves the device, SSO/MFA support, and an auditable security posture before sign-off.</w:t>
      </w:r>
    </w:p>
    <w:p>
      <w:pPr>
        <w:pStyle w:val="Heading1"/>
        <w:pBdr>
          <w:bottom w:val="single" w:color="EF6A35" w:sz="12" w:space="6"/>
        </w:pBdr>
        <w:spacing w:after="200" w:before="480"/>
      </w:pPr>
      <w:r>
        <w:rPr>
          <w:rFonts w:ascii="Poppins" w:cs="Poppins" w:eastAsia="Poppins" w:hAnsi="Poppins"/>
          <w:b/>
          <w:bCs/>
          <w:color w:val="EF6A35"/>
        </w:rPr>
        <w:t xml:space="preserve">5  </w:t>
      </w:r>
      <w:r>
        <w:rPr>
          <w:rFonts w:ascii="Poppins" w:cs="Poppins" w:eastAsia="Poppins" w:hAnsi="Poppins"/>
          <w:b/>
          <w:bCs/>
          <w:color w:val="0B0F19"/>
          <w:sz w:val="30"/>
          <w:szCs w:val="30"/>
        </w:rPr>
        <w:t xml:space="preserve">Product Scope &amp; Release Plan</w:t>
      </w:r>
    </w:p>
    <w:tbl>
      <w:tblPr>
        <w:tblW w:type="dxa" w:w="9350"/>
        <w:tblBorders>
          <w:top w:val="single" w:color="D9DCE5" w:sz="4"/>
          <w:left w:val="single" w:color="D9DCE5" w:sz="4"/>
          <w:bottom w:val="single" w:color="D9DCE5" w:sz="4"/>
          <w:right w:val="single" w:color="D9DCE5" w:sz="4"/>
          <w:insideH w:val="single" w:color="D9DCE5" w:sz="4"/>
          <w:insideV w:val="single" w:color="D9DCE5" w:sz="4"/>
        </w:tblBorders>
      </w:tblPr>
      <w:tblGrid>
        <w:gridCol w:w="2400"/>
        <w:gridCol w:w="3475"/>
        <w:gridCol w:w="3475"/>
      </w:tblGrid>
      <w:tr>
        <w:trPr>
          <w:cantSplit/>
          <w:tblHeader/>
        </w:trPr>
        <w:tc>
          <w:tcPr>
            <w:tcW w:type="dxa" w:w="24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Phase</w:t>
            </w:r>
          </w:p>
        </w:tc>
        <w:tc>
          <w:tcPr>
            <w:tcW w:type="dxa" w:w="3475"/>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Scope</w:t>
            </w:r>
          </w:p>
        </w:tc>
        <w:tc>
          <w:tcPr>
            <w:tcW w:type="dxa" w:w="3475"/>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Target Outcome</w:t>
            </w:r>
          </w:p>
        </w:tc>
      </w:tr>
      <w:tr>
        <w:trPr>
          <w:cantSplit/>
        </w:trPr>
        <w:tc>
          <w:tcPr>
            <w:tcW w:type="dxa" w:w="2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Phase 1
MVP</w:t>
            </w:r>
          </w:p>
        </w:tc>
        <w:tc>
          <w:tcPr>
            <w:tcW w:type="dxa" w:w="3475"/>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Single-user live translation (webcam → captions + voice), Hindi &amp; English output, on-device inference, core onboarding flow</w:t>
            </w:r>
          </w:p>
        </w:tc>
        <w:tc>
          <w:tcPr>
            <w:tcW w:type="dxa" w:w="3475"/>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Usable by an individual with zero setup; validates core accuracy &amp; latency</w:t>
            </w:r>
          </w:p>
        </w:tc>
      </w:tr>
      <w:tr>
        <w:trPr>
          <w:cantSplit/>
        </w:trPr>
        <w:tc>
          <w:tcPr>
            <w:tcW w:type="dxa" w:w="2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Phase 2
Institutional Pilot</w:t>
            </w:r>
          </w:p>
        </w:tc>
        <w:tc>
          <w:tcPr>
            <w:tcW w:type="dxa" w:w="3475"/>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Session history, institutional admin console, SSO/MFA, multi-language expansion, accessibility audit (WCAG 2.2 AA)</w:t>
            </w:r>
          </w:p>
        </w:tc>
        <w:tc>
          <w:tcPr>
            <w:tcW w:type="dxa" w:w="3475"/>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3 flagship pilots live with signed data-processing agreements</w:t>
            </w:r>
          </w:p>
        </w:tc>
      </w:tr>
      <w:tr>
        <w:trPr>
          <w:cantSplit/>
        </w:trPr>
        <w:tc>
          <w:tcPr>
            <w:tcW w:type="dxa" w:w="2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Phase 3
Scale</w:t>
            </w:r>
          </w:p>
        </w:tc>
        <w:tc>
          <w:tcPr>
            <w:tcW w:type="dxa" w:w="3475"/>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Public API/SDK for video-call &amp; kiosk integration, expanded regional sign-language models, offline-first mobile app</w:t>
            </w:r>
          </w:p>
        </w:tc>
        <w:tc>
          <w:tcPr>
            <w:tcW w:type="dxa" w:w="3475"/>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Platform play — partners embed SignBridge rather than build their own</w:t>
            </w:r>
          </w:p>
        </w:tc>
      </w:tr>
    </w:tbl>
    <w:p>
      <w:r>
        <w:br w:type="page"/>
      </w:r>
    </w:p>
    <w:p>
      <w:pPr>
        <w:pStyle w:val="Heading1"/>
        <w:pBdr>
          <w:bottom w:val="single" w:color="EF6A35" w:sz="12" w:space="6"/>
        </w:pBdr>
        <w:spacing w:after="200" w:before="480"/>
      </w:pPr>
      <w:r>
        <w:rPr>
          <w:rFonts w:ascii="Poppins" w:cs="Poppins" w:eastAsia="Poppins" w:hAnsi="Poppins"/>
          <w:b/>
          <w:bCs/>
          <w:color w:val="EF6A35"/>
        </w:rPr>
        <w:t xml:space="preserve">6  </w:t>
      </w:r>
      <w:r>
        <w:rPr>
          <w:rFonts w:ascii="Poppins" w:cs="Poppins" w:eastAsia="Poppins" w:hAnsi="Poppins"/>
          <w:b/>
          <w:bCs/>
          <w:color w:val="0B0F19"/>
          <w:sz w:val="30"/>
          <w:szCs w:val="30"/>
        </w:rPr>
        <w:t xml:space="preserve">Functional Requirements</w:t>
      </w:r>
    </w:p>
    <w:p>
      <w:pPr>
        <w:pStyle w:val="Heading2"/>
        <w:spacing w:after="140" w:before="320"/>
      </w:pPr>
      <w:r>
        <w:rPr>
          <w:rFonts w:ascii="Poppins" w:cs="Poppins" w:eastAsia="Poppins" w:hAnsi="Poppins"/>
          <w:b/>
          <w:bCs/>
          <w:color w:val="1A2138"/>
          <w:sz w:val="24"/>
          <w:szCs w:val="24"/>
        </w:rPr>
        <w:t xml:space="preserve">6.1 Core Translation Engine</w:t>
      </w:r>
    </w:p>
    <w:tbl>
      <w:tblPr>
        <w:tblW w:type="dxa" w:w="9400"/>
        <w:tblBorders>
          <w:top w:val="single" w:color="D9DCE5" w:sz="4"/>
          <w:left w:val="single" w:color="D9DCE5" w:sz="4"/>
          <w:bottom w:val="single" w:color="D9DCE5" w:sz="4"/>
          <w:right w:val="single" w:color="D9DCE5" w:sz="4"/>
          <w:insideH w:val="single" w:color="D9DCE5" w:sz="4"/>
          <w:insideV w:val="single" w:color="D9DCE5" w:sz="4"/>
        </w:tblBorders>
      </w:tblPr>
      <w:tblGrid>
        <w:gridCol w:w="1150"/>
        <w:gridCol w:w="4700"/>
        <w:gridCol w:w="1050"/>
        <w:gridCol w:w="2500"/>
      </w:tblGrid>
      <w:tr>
        <w:trPr>
          <w:cantSplit/>
          <w:tblHeader/>
        </w:trPr>
        <w:tc>
          <w:tcPr>
            <w:tcW w:type="dxa" w:w="115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47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105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Priority</w:t>
            </w:r>
          </w:p>
        </w:tc>
        <w:tc>
          <w:tcPr>
            <w:tcW w:type="dxa" w:w="25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Notes</w:t>
            </w:r>
          </w:p>
        </w:tc>
      </w:tr>
      <w:tr>
        <w:trPr>
          <w:cantSplit/>
        </w:trPr>
        <w:tc>
          <w:tcPr>
            <w:tcW w:type="dxa" w:w="1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FR-1</w:t>
            </w:r>
          </w:p>
        </w:tc>
        <w:tc>
          <w:tcPr>
            <w:tcW w:type="dxa" w:w="47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System shall capture live camera frames and extract 500+ 3D skeletal keypoints (hands, face, upper body) per frame.</w:t>
            </w:r>
          </w:p>
        </w:tc>
        <w:tc>
          <w:tcPr>
            <w:tcW w:type="dxa" w:w="10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P0</w:t>
            </w:r>
          </w:p>
        </w:tc>
        <w:tc>
          <w:tcPr>
            <w:tcW w:type="dxa" w:w="25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OpenCV + MediaPipe</w:t>
            </w:r>
          </w:p>
        </w:tc>
      </w:tr>
      <w:tr>
        <w:trPr>
          <w:cantSplit/>
        </w:trPr>
        <w:tc>
          <w:tcPr>
            <w:tcW w:type="dxa" w:w="1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FR-2</w:t>
            </w:r>
          </w:p>
        </w:tc>
        <w:tc>
          <w:tcPr>
            <w:tcW w:type="dxa" w:w="47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System shall classify continuous gesture sequences (not single frames) using a sequential model (LSTM).</w:t>
            </w:r>
          </w:p>
        </w:tc>
        <w:tc>
          <w:tcPr>
            <w:tcW w:type="dxa" w:w="10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P0</w:t>
            </w:r>
          </w:p>
        </w:tc>
        <w:tc>
          <w:tcPr>
            <w:tcW w:type="dxa" w:w="25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Sliding-window buffer</w:t>
            </w:r>
          </w:p>
        </w:tc>
      </w:tr>
      <w:tr>
        <w:trPr>
          <w:cantSplit/>
        </w:trPr>
        <w:tc>
          <w:tcPr>
            <w:tcW w:type="dxa" w:w="1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FR-3</w:t>
            </w:r>
          </w:p>
        </w:tc>
        <w:tc>
          <w:tcPr>
            <w:tcW w:type="dxa" w:w="47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System shall render recognized gestures as on-screen captions within 100 ms of gesture completion.</w:t>
            </w:r>
          </w:p>
        </w:tc>
        <w:tc>
          <w:tcPr>
            <w:tcW w:type="dxa" w:w="10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P0</w:t>
            </w:r>
          </w:p>
        </w:tc>
        <w:tc>
          <w:tcPr>
            <w:tcW w:type="dxa" w:w="25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Core latency SLA</w:t>
            </w:r>
          </w:p>
        </w:tc>
      </w:tr>
      <w:tr>
        <w:trPr>
          <w:cantSplit/>
        </w:trPr>
        <w:tc>
          <w:tcPr>
            <w:tcW w:type="dxa" w:w="1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FR-4</w:t>
            </w:r>
          </w:p>
        </w:tc>
        <w:tc>
          <w:tcPr>
            <w:tcW w:type="dxa" w:w="47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System shall convert recognized captions to natural speech via a text-to-speech engine.</w:t>
            </w:r>
          </w:p>
        </w:tc>
        <w:tc>
          <w:tcPr>
            <w:tcW w:type="dxa" w:w="10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P0</w:t>
            </w:r>
          </w:p>
        </w:tc>
        <w:tc>
          <w:tcPr>
            <w:tcW w:type="dxa" w:w="25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Hindi + English at launch</w:t>
            </w:r>
          </w:p>
        </w:tc>
      </w:tr>
      <w:tr>
        <w:trPr>
          <w:cantSplit/>
        </w:trPr>
        <w:tc>
          <w:tcPr>
            <w:tcW w:type="dxa" w:w="1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FR-5</w:t>
            </w:r>
          </w:p>
        </w:tc>
        <w:tc>
          <w:tcPr>
            <w:tcW w:type="dxa" w:w="47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System shall support a “conversation mode” that keeps a running, timestamped transcript for the session.</w:t>
            </w:r>
          </w:p>
        </w:tc>
        <w:tc>
          <w:tcPr>
            <w:tcW w:type="dxa" w:w="10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P1</w:t>
            </w:r>
          </w:p>
        </w:tc>
        <w:tc>
          <w:tcPr>
            <w:tcW w:type="dxa" w:w="25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
            </w:r>
          </w:p>
        </w:tc>
      </w:tr>
      <w:tr>
        <w:trPr>
          <w:cantSplit/>
        </w:trPr>
        <w:tc>
          <w:tcPr>
            <w:tcW w:type="dxa" w:w="1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FR-6</w:t>
            </w:r>
          </w:p>
        </w:tc>
        <w:tc>
          <w:tcPr>
            <w:tcW w:type="dxa" w:w="47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System shall allow users to correct a misrecognized sign inline, optionally contributing anonymized feedback for model improvement.</w:t>
            </w:r>
          </w:p>
        </w:tc>
        <w:tc>
          <w:tcPr>
            <w:tcW w:type="dxa" w:w="10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P1</w:t>
            </w:r>
          </w:p>
        </w:tc>
        <w:tc>
          <w:tcPr>
            <w:tcW w:type="dxa" w:w="25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Opt-in only</w:t>
            </w:r>
          </w:p>
        </w:tc>
      </w:tr>
      <w:tr>
        <w:trPr>
          <w:cantSplit/>
        </w:trPr>
        <w:tc>
          <w:tcPr>
            <w:tcW w:type="dxa" w:w="1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FR-7</w:t>
            </w:r>
          </w:p>
        </w:tc>
        <w:tc>
          <w:tcPr>
            <w:tcW w:type="dxa" w:w="47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System shall detect low-confidence recognition and prompt the user to repeat the gesture rather than guess.</w:t>
            </w:r>
          </w:p>
        </w:tc>
        <w:tc>
          <w:tcPr>
            <w:tcW w:type="dxa" w:w="10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P0</w:t>
            </w:r>
          </w:p>
        </w:tc>
        <w:tc>
          <w:tcPr>
            <w:tcW w:type="dxa" w:w="25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Prevents silent mistranslation</w:t>
            </w:r>
          </w:p>
        </w:tc>
      </w:tr>
    </w:tbl>
    <w:p>
      <w:pPr>
        <w:pStyle w:val="Heading2"/>
        <w:spacing w:after="140" w:before="320"/>
      </w:pPr>
      <w:r>
        <w:rPr>
          <w:rFonts w:ascii="Poppins" w:cs="Poppins" w:eastAsia="Poppins" w:hAnsi="Poppins"/>
          <w:b/>
          <w:bCs/>
          <w:color w:val="1A2138"/>
          <w:sz w:val="24"/>
          <w:szCs w:val="24"/>
        </w:rPr>
        <w:t xml:space="preserve">6.2 Platform &amp; Access</w:t>
      </w:r>
    </w:p>
    <w:tbl>
      <w:tblPr>
        <w:tblW w:type="dxa" w:w="9400"/>
        <w:tblBorders>
          <w:top w:val="single" w:color="D9DCE5" w:sz="4"/>
          <w:left w:val="single" w:color="D9DCE5" w:sz="4"/>
          <w:bottom w:val="single" w:color="D9DCE5" w:sz="4"/>
          <w:right w:val="single" w:color="D9DCE5" w:sz="4"/>
          <w:insideH w:val="single" w:color="D9DCE5" w:sz="4"/>
          <w:insideV w:val="single" w:color="D9DCE5" w:sz="4"/>
        </w:tblBorders>
      </w:tblPr>
      <w:tblGrid>
        <w:gridCol w:w="1150"/>
        <w:gridCol w:w="4700"/>
        <w:gridCol w:w="1050"/>
        <w:gridCol w:w="2500"/>
      </w:tblGrid>
      <w:tr>
        <w:trPr>
          <w:cantSplit/>
          <w:tblHeader/>
        </w:trPr>
        <w:tc>
          <w:tcPr>
            <w:tcW w:type="dxa" w:w="115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47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105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Priority</w:t>
            </w:r>
          </w:p>
        </w:tc>
        <w:tc>
          <w:tcPr>
            <w:tcW w:type="dxa" w:w="25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Notes</w:t>
            </w:r>
          </w:p>
        </w:tc>
      </w:tr>
      <w:tr>
        <w:trPr>
          <w:cantSplit/>
        </w:trPr>
        <w:tc>
          <w:tcPr>
            <w:tcW w:type="dxa" w:w="1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FR-8</w:t>
            </w:r>
          </w:p>
        </w:tc>
        <w:tc>
          <w:tcPr>
            <w:tcW w:type="dxa" w:w="47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Web app (installable PWA) running in modern browsers with camera access, no install required.</w:t>
            </w:r>
          </w:p>
        </w:tc>
        <w:tc>
          <w:tcPr>
            <w:tcW w:type="dxa" w:w="10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P0</w:t>
            </w:r>
          </w:p>
        </w:tc>
        <w:tc>
          <w:tcPr>
            <w:tcW w:type="dxa" w:w="25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
            </w:r>
          </w:p>
        </w:tc>
      </w:tr>
      <w:tr>
        <w:trPr>
          <w:cantSplit/>
        </w:trPr>
        <w:tc>
          <w:tcPr>
            <w:tcW w:type="dxa" w:w="1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FR-9</w:t>
            </w:r>
          </w:p>
        </w:tc>
        <w:tc>
          <w:tcPr>
            <w:tcW w:type="dxa" w:w="47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Native mobile app (iOS/Android) for offline-first use in low-connectivity settings.</w:t>
            </w:r>
          </w:p>
        </w:tc>
        <w:tc>
          <w:tcPr>
            <w:tcW w:type="dxa" w:w="10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P1</w:t>
            </w:r>
          </w:p>
        </w:tc>
        <w:tc>
          <w:tcPr>
            <w:tcW w:type="dxa" w:w="25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Phase 3</w:t>
            </w:r>
          </w:p>
        </w:tc>
      </w:tr>
      <w:tr>
        <w:trPr>
          <w:cantSplit/>
        </w:trPr>
        <w:tc>
          <w:tcPr>
            <w:tcW w:type="dxa" w:w="1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FR-10</w:t>
            </w:r>
          </w:p>
        </w:tc>
        <w:tc>
          <w:tcPr>
            <w:tcW w:type="dxa" w:w="47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Institutional admin console for managing users, viewing anonymized usage analytics, and configuring language defaults.</w:t>
            </w:r>
          </w:p>
        </w:tc>
        <w:tc>
          <w:tcPr>
            <w:tcW w:type="dxa" w:w="10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P1</w:t>
            </w:r>
          </w:p>
        </w:tc>
        <w:tc>
          <w:tcPr>
            <w:tcW w:type="dxa" w:w="25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Phase 2</w:t>
            </w:r>
          </w:p>
        </w:tc>
      </w:tr>
      <w:tr>
        <w:trPr>
          <w:cantSplit/>
        </w:trPr>
        <w:tc>
          <w:tcPr>
            <w:tcW w:type="dxa" w:w="1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FR-11</w:t>
            </w:r>
          </w:p>
        </w:tc>
        <w:tc>
          <w:tcPr>
            <w:tcW w:type="dxa" w:w="47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Role-based access control: Individual User, Institution Staff, Institution Admin, Platform Admin.</w:t>
            </w:r>
          </w:p>
        </w:tc>
        <w:tc>
          <w:tcPr>
            <w:tcW w:type="dxa" w:w="10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P0</w:t>
            </w:r>
          </w:p>
        </w:tc>
        <w:tc>
          <w:tcPr>
            <w:tcW w:type="dxa" w:w="25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See Security §10.3</w:t>
            </w:r>
          </w:p>
        </w:tc>
      </w:tr>
    </w:tbl>
    <w:p>
      <w:pPr>
        <w:pStyle w:val="Heading1"/>
        <w:pBdr>
          <w:bottom w:val="single" w:color="EF6A35" w:sz="12" w:space="6"/>
        </w:pBdr>
        <w:spacing w:after="200" w:before="480"/>
      </w:pPr>
      <w:r>
        <w:rPr>
          <w:rFonts w:ascii="Poppins" w:cs="Poppins" w:eastAsia="Poppins" w:hAnsi="Poppins"/>
          <w:b/>
          <w:bCs/>
          <w:color w:val="EF6A35"/>
        </w:rPr>
        <w:t xml:space="preserve">7  </w:t>
      </w:r>
      <w:r>
        <w:rPr>
          <w:rFonts w:ascii="Poppins" w:cs="Poppins" w:eastAsia="Poppins" w:hAnsi="Poppins"/>
          <w:b/>
          <w:bCs/>
          <w:color w:val="0B0F19"/>
          <w:sz w:val="30"/>
          <w:szCs w:val="30"/>
        </w:rPr>
        <w:t xml:space="preserve">Non-Functional Requirements</w:t>
      </w:r>
    </w:p>
    <w:tbl>
      <w:tblPr>
        <w:tblW w:type="dxa" w:w="8950"/>
        <w:tblBorders>
          <w:top w:val="single" w:color="D9DCE5" w:sz="4"/>
          <w:left w:val="single" w:color="D9DCE5" w:sz="4"/>
          <w:bottom w:val="single" w:color="D9DCE5" w:sz="4"/>
          <w:right w:val="single" w:color="D9DCE5" w:sz="4"/>
          <w:insideH w:val="single" w:color="D9DCE5" w:sz="4"/>
          <w:insideV w:val="single" w:color="D9DCE5" w:sz="4"/>
        </w:tblBorders>
      </w:tblPr>
      <w:tblGrid>
        <w:gridCol w:w="2600"/>
        <w:gridCol w:w="6350"/>
      </w:tblGrid>
      <w:tr>
        <w:trPr>
          <w:cantSplit/>
          <w:tblHeader/>
        </w:trPr>
        <w:tc>
          <w:tcPr>
            <w:tcW w:type="dxa" w:w="26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Category</w:t>
            </w:r>
          </w:p>
        </w:tc>
        <w:tc>
          <w:tcPr>
            <w:tcW w:type="dxa" w:w="635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Performance</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End-to-end gesture-to-output latency &lt; 100 ms on a mid-tier laptop/phone CPU; sustained 30 fps camera processing.</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Availability</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99.9% uptime for cloud-hosted admin/sync services; core translation must continue working with zero connectivity (fully on-device).</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Scalability</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Admin/analytics backend must scale horizontally to support 10,000+ institutional seats without architectural change.</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Accessibility</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WCAG 2.2 Level AA compliance across all interfaces; full compatibility with screen readers for low-vision users.</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Privacy</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Zero raw video persistence or transmission by default; only derived numeric keypoints may optionally sync, and only with explicit opt-in.</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Portability</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Runs on commodity webcams/phone cameras — no specialized depth sensors, gloves, or dedicated hardware.</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Localizability</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Architecture must support adding a new spoken/written language without re-architecting the gesture-recognition core.</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Auditability</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Every admin/security-relevant action (login, role change, data export) is logged to an immutable audit trail.</w:t>
            </w:r>
          </w:p>
        </w:tc>
      </w:tr>
    </w:tbl>
    <w:p>
      <w:r>
        <w:br w:type="page"/>
      </w:r>
    </w:p>
    <w:p>
      <w:pPr>
        <w:pStyle w:val="Heading1"/>
        <w:pBdr>
          <w:bottom w:val="single" w:color="EF6A35" w:sz="12" w:space="6"/>
        </w:pBdr>
        <w:spacing w:after="200" w:before="480"/>
      </w:pPr>
      <w:r>
        <w:rPr>
          <w:rFonts w:ascii="Poppins" w:cs="Poppins" w:eastAsia="Poppins" w:hAnsi="Poppins"/>
          <w:b/>
          <w:bCs/>
          <w:color w:val="EF6A35"/>
        </w:rPr>
        <w:t xml:space="preserve">8  </w:t>
      </w:r>
      <w:r>
        <w:rPr>
          <w:rFonts w:ascii="Poppins" w:cs="Poppins" w:eastAsia="Poppins" w:hAnsi="Poppins"/>
          <w:b/>
          <w:bCs/>
          <w:color w:val="0B0F19"/>
          <w:sz w:val="30"/>
          <w:szCs w:val="30"/>
        </w:rPr>
        <w:t xml:space="preserve">System Architecture</w:t>
      </w:r>
    </w:p>
    <w:p>
      <w:pPr>
        <w:spacing w:after="160" w:line="300"/>
      </w:pPr>
      <w:r>
        <w:rPr>
          <w:rFonts w:ascii="Calibri" w:cs="Calibri" w:eastAsia="Calibri" w:hAnsi="Calibri"/>
          <w:color w:val="26293B"/>
          <w:sz w:val="21"/>
          <w:szCs w:val="21"/>
        </w:rPr>
        <w:t xml:space="preserve">SignBridge AI is deliberately split into an on-device “privacy boundary” and a thin, optional cloud layer used only for account, licensing, and anonymized analytics — never for video or biometric data.</w:t>
      </w:r>
    </w:p>
    <w:p>
      <w:pPr>
        <w:pStyle w:val="Heading2"/>
        <w:spacing w:after="140" w:before="320"/>
      </w:pPr>
      <w:r>
        <w:rPr>
          <w:rFonts w:ascii="Poppins" w:cs="Poppins" w:eastAsia="Poppins" w:hAnsi="Poppins"/>
          <w:b/>
          <w:bCs/>
          <w:color w:val="1A2138"/>
          <w:sz w:val="24"/>
          <w:szCs w:val="24"/>
        </w:rPr>
        <w:t xml:space="preserve">8.1 High-Level Components</w:t>
      </w:r>
    </w:p>
    <w:p>
      <w:pPr>
        <w:pStyle w:val="ListParagraph"/>
        <w:numPr>
          <w:ilvl w:val="0"/>
          <w:numId w:val="2"/>
        </w:numPr>
        <w:spacing w:after="100" w:line="290"/>
      </w:pPr>
      <w:r>
        <w:rPr>
          <w:rFonts w:ascii="Calibri" w:cs="Calibri" w:eastAsia="Calibri" w:hAnsi="Calibri"/>
          <w:b/>
          <w:bCs/>
          <w:color w:val="0B0F19"/>
          <w:sz w:val="21"/>
          <w:szCs w:val="21"/>
        </w:rPr>
        <w:t xml:space="preserve">1. Capture Layer (on-device):  </w:t>
      </w:r>
      <w:r>
        <w:rPr>
          <w:rFonts w:ascii="Calibri" w:cs="Calibri" w:eastAsia="Calibri" w:hAnsi="Calibri"/>
          <w:color w:val="26293B"/>
          <w:sz w:val="21"/>
          <w:szCs w:val="21"/>
        </w:rPr>
        <w:t xml:space="preserve">accesses the camera via browser/OS APIs; frames never leave this layer.</w:t>
      </w:r>
    </w:p>
    <w:p>
      <w:pPr>
        <w:pStyle w:val="ListParagraph"/>
        <w:numPr>
          <w:ilvl w:val="0"/>
          <w:numId w:val="2"/>
        </w:numPr>
        <w:spacing w:after="100" w:line="290"/>
      </w:pPr>
      <w:r>
        <w:rPr>
          <w:rFonts w:ascii="Calibri" w:cs="Calibri" w:eastAsia="Calibri" w:hAnsi="Calibri"/>
          <w:b/>
          <w:bCs/>
          <w:color w:val="0B0F19"/>
          <w:sz w:val="21"/>
          <w:szCs w:val="21"/>
        </w:rPr>
        <w:t xml:space="preserve">2. Keypoint Extraction Engine (on-device):  </w:t>
      </w:r>
      <w:r>
        <w:rPr>
          <w:rFonts w:ascii="Calibri" w:cs="Calibri" w:eastAsia="Calibri" w:hAnsi="Calibri"/>
          <w:color w:val="26293B"/>
          <w:sz w:val="21"/>
          <w:szCs w:val="21"/>
        </w:rPr>
        <w:t xml:space="preserve">OpenCV + MediaPipe convert each frame into ~500 anonymized 3D coordinates; the frame is discarded immediately after extraction.</w:t>
      </w:r>
    </w:p>
    <w:p>
      <w:pPr>
        <w:pStyle w:val="ListParagraph"/>
        <w:numPr>
          <w:ilvl w:val="0"/>
          <w:numId w:val="2"/>
        </w:numPr>
        <w:spacing w:after="100" w:line="290"/>
      </w:pPr>
      <w:r>
        <w:rPr>
          <w:rFonts w:ascii="Calibri" w:cs="Calibri" w:eastAsia="Calibri" w:hAnsi="Calibri"/>
          <w:b/>
          <w:bCs/>
          <w:color w:val="0B0F19"/>
          <w:sz w:val="21"/>
          <w:szCs w:val="21"/>
        </w:rPr>
        <w:t xml:space="preserve">3. Sequence Recognition Model (on-device):  </w:t>
      </w:r>
      <w:r>
        <w:rPr>
          <w:rFonts w:ascii="Calibri" w:cs="Calibri" w:eastAsia="Calibri" w:hAnsi="Calibri"/>
          <w:color w:val="26293B"/>
          <w:sz w:val="21"/>
          <w:szCs w:val="21"/>
        </w:rPr>
        <w:t xml:space="preserve">an LSTM network classifies the buffered keypoint sequence into a gesture/word class.</w:t>
      </w:r>
    </w:p>
    <w:p>
      <w:pPr>
        <w:pStyle w:val="ListParagraph"/>
        <w:numPr>
          <w:ilvl w:val="0"/>
          <w:numId w:val="2"/>
        </w:numPr>
        <w:spacing w:after="100" w:line="290"/>
      </w:pPr>
      <w:r>
        <w:rPr>
          <w:rFonts w:ascii="Calibri" w:cs="Calibri" w:eastAsia="Calibri" w:hAnsi="Calibri"/>
          <w:b/>
          <w:bCs/>
          <w:color w:val="0B0F19"/>
          <w:sz w:val="21"/>
          <w:szCs w:val="21"/>
        </w:rPr>
        <w:t xml:space="preserve">4. Language &amp; Speech Layer (on-device):  </w:t>
      </w:r>
      <w:r>
        <w:rPr>
          <w:rFonts w:ascii="Calibri" w:cs="Calibri" w:eastAsia="Calibri" w:hAnsi="Calibri"/>
          <w:color w:val="26293B"/>
          <w:sz w:val="21"/>
          <w:szCs w:val="21"/>
        </w:rPr>
        <w:t xml:space="preserve">maps recognized classes to grammatical text and synthesizes speech locally via an embedded TTS engine.</w:t>
      </w:r>
    </w:p>
    <w:p>
      <w:pPr>
        <w:pStyle w:val="ListParagraph"/>
        <w:numPr>
          <w:ilvl w:val="0"/>
          <w:numId w:val="2"/>
        </w:numPr>
        <w:spacing w:after="100" w:line="290"/>
      </w:pPr>
      <w:r>
        <w:rPr>
          <w:rFonts w:ascii="Calibri" w:cs="Calibri" w:eastAsia="Calibri" w:hAnsi="Calibri"/>
          <w:b/>
          <w:bCs/>
          <w:color w:val="0B0F19"/>
          <w:sz w:val="21"/>
          <w:szCs w:val="21"/>
        </w:rPr>
        <w:t xml:space="preserve">5. Sync &amp; Account Service (cloud, optional):  </w:t>
      </w:r>
      <w:r>
        <w:rPr>
          <w:rFonts w:ascii="Calibri" w:cs="Calibri" w:eastAsia="Calibri" w:hAnsi="Calibri"/>
          <w:color w:val="26293B"/>
          <w:sz w:val="21"/>
          <w:szCs w:val="21"/>
        </w:rPr>
        <w:t xml:space="preserve">handles authentication, licensing, and — only with explicit opt-in — anonymized accuracy telemetry (keypoints and predicted label only, never imagery).</w:t>
      </w:r>
    </w:p>
    <w:p>
      <w:pPr>
        <w:pStyle w:val="ListParagraph"/>
        <w:numPr>
          <w:ilvl w:val="0"/>
          <w:numId w:val="2"/>
        </w:numPr>
        <w:spacing w:after="100" w:line="290"/>
      </w:pPr>
      <w:r>
        <w:rPr>
          <w:rFonts w:ascii="Calibri" w:cs="Calibri" w:eastAsia="Calibri" w:hAnsi="Calibri"/>
          <w:b/>
          <w:bCs/>
          <w:color w:val="0B0F19"/>
          <w:sz w:val="21"/>
          <w:szCs w:val="21"/>
        </w:rPr>
        <w:t xml:space="preserve">6. Institutional Admin Service (cloud):  </w:t>
      </w:r>
      <w:r>
        <w:rPr>
          <w:rFonts w:ascii="Calibri" w:cs="Calibri" w:eastAsia="Calibri" w:hAnsi="Calibri"/>
          <w:color w:val="26293B"/>
          <w:sz w:val="21"/>
          <w:szCs w:val="21"/>
        </w:rPr>
        <w:t xml:space="preserve">manages users, roles, and aggregate usage analytics behind SSO/MFA.</w:t>
      </w:r>
    </w:p>
    <w:p>
      <w:pPr>
        <w:spacing w:after="80"/>
      </w:pPr>
    </w:p>
    <w:tbl>
      <w:tblPr>
        <w:tblW w:type="dxa" w:w="9350"/>
        <w:tblBorders>
          <w:top w:val="single" w:color="1E8A5F" w:sz="4"/>
          <w:left w:val="single" w:color="1E8A5F" w:sz="24"/>
          <w:bottom w:val="single" w:color="1E8A5F" w:sz="4"/>
          <w:right w:val="single" w:color="1E8A5F" w:sz="4"/>
          <w:insideH w:val="single" w:color="auto" w:sz="4"/>
          <w:insideV w:val="single" w:color="auto" w:sz="4"/>
        </w:tblBorders>
      </w:tblPr>
      <w:tblGrid>
        <w:gridCol w:w="9350"/>
      </w:tblGrid>
      <w:tr>
        <w:trPr>
          <w:cantSplit/>
        </w:trPr>
        <w:tc>
          <w:tcPr>
            <w:tcW w:type="dxa" w:w="9350"/>
            <w:shd w:fill="E9F7F1" w:val="clear"/>
            <w:tcMar>
              <w:top w:type="dxa" w:w="160"/>
              <w:left w:type="dxa" w:w="220"/>
              <w:bottom w:type="dxa" w:w="160"/>
              <w:right w:type="dxa" w:w="220"/>
            </w:tcMar>
          </w:tcPr>
          <w:p>
            <w:pPr>
              <w:spacing w:after="60"/>
            </w:pPr>
            <w:r>
              <w:rPr>
                <w:rFonts w:ascii="Poppins" w:cs="Poppins" w:eastAsia="Poppins" w:hAnsi="Poppins"/>
                <w:b/>
                <w:bCs/>
                <w:color w:val="1E8A5F"/>
                <w:sz w:val="19"/>
                <w:szCs w:val="19"/>
              </w:rPr>
              <w:t xml:space="preserve">Privacy Boundary</w:t>
            </w:r>
          </w:p>
          <w:p>
            <w:pPr>
              <w:spacing w:after="0"/>
            </w:pPr>
            <w:r>
              <w:rPr>
                <w:rFonts w:ascii="Calibri" w:cs="Calibri" w:eastAsia="Calibri" w:hAnsi="Calibri"/>
                <w:color w:val="26293B"/>
                <w:sz w:val="20"/>
                <w:szCs w:val="20"/>
              </w:rPr>
              <w:t xml:space="preserve">Everything to the left of the dotted line — camera capture, keypoint extraction, gesture recognition, and speech synthesis — runs entirely on the user's device. Nothing crosses to the cloud unless a user or institution explicitly opts in, and even then, only anonymized numeric data, never video.</w:t>
            </w:r>
          </w:p>
        </w:tc>
      </w:tr>
    </w:tbl>
    <w:p>
      <w:pPr>
        <w:spacing w:after="160"/>
      </w:pPr>
    </w:p>
    <w:p>
      <w:pPr>
        <w:pStyle w:val="Heading2"/>
        <w:spacing w:after="140" w:before="320"/>
      </w:pPr>
      <w:r>
        <w:rPr>
          <w:rFonts w:ascii="Poppins" w:cs="Poppins" w:eastAsia="Poppins" w:hAnsi="Poppins"/>
          <w:b/>
          <w:bCs/>
          <w:color w:val="1A2138"/>
          <w:sz w:val="24"/>
          <w:szCs w:val="24"/>
        </w:rPr>
        <w:t xml:space="preserve">8.2 Core Technology Stack</w:t>
      </w:r>
    </w:p>
    <w:tbl>
      <w:tblPr>
        <w:tblW w:type="dxa" w:w="8950"/>
        <w:tblBorders>
          <w:top w:val="single" w:color="D9DCE5" w:sz="4"/>
          <w:left w:val="single" w:color="D9DCE5" w:sz="4"/>
          <w:bottom w:val="single" w:color="D9DCE5" w:sz="4"/>
          <w:right w:val="single" w:color="D9DCE5" w:sz="4"/>
          <w:insideH w:val="single" w:color="D9DCE5" w:sz="4"/>
          <w:insideV w:val="single" w:color="D9DCE5" w:sz="4"/>
        </w:tblBorders>
      </w:tblPr>
      <w:tblGrid>
        <w:gridCol w:w="2600"/>
        <w:gridCol w:w="6350"/>
      </w:tblGrid>
      <w:tr>
        <w:trPr>
          <w:cantSplit/>
          <w:tblHeader/>
        </w:trPr>
        <w:tc>
          <w:tcPr>
            <w:tcW w:type="dxa" w:w="26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Layer</w:t>
            </w:r>
          </w:p>
        </w:tc>
        <w:tc>
          <w:tcPr>
            <w:tcW w:type="dxa" w:w="635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Technology</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Computer Vision</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OpenCV, MediaPipe (hand/face/pose landmark models)</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Sequence Model</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TensorFlow / Keras — LSTM-based gesture classifier, exported to on-device runtime (TensorFlow Lite / ONNX Runtime)</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Speech Synthesis</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On-device TTS engine (platform-native or embedded neural TTS) — Hindi &amp; English voices at launch</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Client Apps</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Progressive Web App (React) + native shells (iOS/Android) for camera and offline access</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Cloud Services</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Containerized microservices (auth, licensing, analytics) on a managed Kubernetes platform</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Identity</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OAuth 2.0 / OIDC with SSO (SAML) for institutional accounts; MFA enforced for admin roles</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Infrastructure</w:t>
            </w:r>
          </w:p>
        </w:tc>
        <w:tc>
          <w:tcPr>
            <w:tcW w:type="dxa" w:w="63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Cloud provider with regional data residency options to satisfy institutional compliance requirements</w:t>
            </w:r>
          </w:p>
        </w:tc>
      </w:tr>
    </w:tbl>
    <w:p>
      <w:pPr>
        <w:pStyle w:val="Heading1"/>
        <w:pBdr>
          <w:bottom w:val="single" w:color="EF6A35" w:sz="12" w:space="6"/>
        </w:pBdr>
        <w:spacing w:after="200" w:before="480"/>
      </w:pPr>
      <w:r>
        <w:rPr>
          <w:rFonts w:ascii="Poppins" w:cs="Poppins" w:eastAsia="Poppins" w:hAnsi="Poppins"/>
          <w:b/>
          <w:bCs/>
          <w:color w:val="EF6A35"/>
        </w:rPr>
        <w:t xml:space="preserve">9  </w:t>
      </w:r>
      <w:r>
        <w:rPr>
          <w:rFonts w:ascii="Poppins" w:cs="Poppins" w:eastAsia="Poppins" w:hAnsi="Poppins"/>
          <w:b/>
          <w:bCs/>
          <w:color w:val="0B0F19"/>
          <w:sz w:val="30"/>
          <w:szCs w:val="30"/>
        </w:rPr>
        <w:t xml:space="preserve">UI/UX Design Principles</w:t>
      </w:r>
    </w:p>
    <w:p>
      <w:pPr>
        <w:spacing w:after="160" w:line="300"/>
      </w:pPr>
      <w:r>
        <w:rPr>
          <w:rFonts w:ascii="Calibri" w:cs="Calibri" w:eastAsia="Calibri" w:hAnsi="Calibri"/>
          <w:color w:val="26293B"/>
          <w:sz w:val="21"/>
          <w:szCs w:val="21"/>
        </w:rPr>
        <w:t xml:space="preserve">SignBridge AI's interface is designed accessibility-first: it must feel effortless to a deaf first-time user, a hearing bystander with zero sign-language knowledge, and an institutional admin evaluating it for procurement — all at once.</w:t>
      </w:r>
    </w:p>
    <w:p>
      <w:pPr>
        <w:pStyle w:val="Heading2"/>
        <w:spacing w:after="140" w:before="320"/>
      </w:pPr>
      <w:r>
        <w:rPr>
          <w:rFonts w:ascii="Poppins" w:cs="Poppins" w:eastAsia="Poppins" w:hAnsi="Poppins"/>
          <w:b/>
          <w:bCs/>
          <w:color w:val="1A2138"/>
          <w:sz w:val="24"/>
          <w:szCs w:val="24"/>
        </w:rPr>
        <w:t xml:space="preserve">9.1 Design Principles</w:t>
      </w:r>
    </w:p>
    <w:p>
      <w:pPr>
        <w:pStyle w:val="ListParagraph"/>
        <w:numPr>
          <w:ilvl w:val="0"/>
          <w:numId w:val="2"/>
        </w:numPr>
        <w:spacing w:after="100" w:line="290"/>
      </w:pPr>
      <w:r>
        <w:rPr>
          <w:rFonts w:ascii="Calibri" w:cs="Calibri" w:eastAsia="Calibri" w:hAnsi="Calibri"/>
          <w:b/>
          <w:bCs/>
          <w:color w:val="0B0F19"/>
          <w:sz w:val="21"/>
          <w:szCs w:val="21"/>
        </w:rPr>
        <w:t xml:space="preserve">Clarity over decoration:  </w:t>
      </w:r>
      <w:r>
        <w:rPr>
          <w:rFonts w:ascii="Calibri" w:cs="Calibri" w:eastAsia="Calibri" w:hAnsi="Calibri"/>
          <w:color w:val="26293B"/>
          <w:sz w:val="21"/>
          <w:szCs w:val="21"/>
        </w:rPr>
        <w:t xml:space="preserve">large, high-contrast captions; generous type scale; no UI element competes visually with the live camera feed or the translated text.</w:t>
      </w:r>
    </w:p>
    <w:p>
      <w:pPr>
        <w:pStyle w:val="ListParagraph"/>
        <w:numPr>
          <w:ilvl w:val="0"/>
          <w:numId w:val="2"/>
        </w:numPr>
        <w:spacing w:after="100" w:line="290"/>
      </w:pPr>
      <w:r>
        <w:rPr>
          <w:rFonts w:ascii="Calibri" w:cs="Calibri" w:eastAsia="Calibri" w:hAnsi="Calibri"/>
          <w:b/>
          <w:bCs/>
          <w:color w:val="0B0F19"/>
          <w:sz w:val="21"/>
          <w:szCs w:val="21"/>
        </w:rPr>
        <w:t xml:space="preserve">Zero-training onboarding:  </w:t>
      </w:r>
      <w:r>
        <w:rPr>
          <w:rFonts w:ascii="Calibri" w:cs="Calibri" w:eastAsia="Calibri" w:hAnsi="Calibri"/>
          <w:color w:val="26293B"/>
          <w:sz w:val="21"/>
          <w:szCs w:val="21"/>
        </w:rPr>
        <w:t xml:space="preserve">a single guided first-run flow (camera permission → framing guide → first successful translation) gets any new user to a working demo in under 60 seconds.</w:t>
      </w:r>
    </w:p>
    <w:p>
      <w:pPr>
        <w:pStyle w:val="ListParagraph"/>
        <w:numPr>
          <w:ilvl w:val="0"/>
          <w:numId w:val="2"/>
        </w:numPr>
        <w:spacing w:after="100" w:line="290"/>
      </w:pPr>
      <w:r>
        <w:rPr>
          <w:rFonts w:ascii="Calibri" w:cs="Calibri" w:eastAsia="Calibri" w:hAnsi="Calibri"/>
          <w:b/>
          <w:bCs/>
          <w:color w:val="0B0F19"/>
          <w:sz w:val="21"/>
          <w:szCs w:val="21"/>
        </w:rPr>
        <w:t xml:space="preserve">Calm, confidence-building feedback:  </w:t>
      </w:r>
      <w:r>
        <w:rPr>
          <w:rFonts w:ascii="Calibri" w:cs="Calibri" w:eastAsia="Calibri" w:hAnsi="Calibri"/>
          <w:color w:val="26293B"/>
          <w:sz w:val="21"/>
          <w:szCs w:val="21"/>
        </w:rPr>
        <w:t xml:space="preserve">a visible skeletal-tracking overlay and confidence indicator show the user they're being read correctly in real time, reducing anxiety in high-stakes settings like a clinic.</w:t>
      </w:r>
    </w:p>
    <w:p>
      <w:pPr>
        <w:pStyle w:val="ListParagraph"/>
        <w:numPr>
          <w:ilvl w:val="0"/>
          <w:numId w:val="2"/>
        </w:numPr>
        <w:spacing w:after="100" w:line="290"/>
      </w:pPr>
      <w:r>
        <w:rPr>
          <w:rFonts w:ascii="Calibri" w:cs="Calibri" w:eastAsia="Calibri" w:hAnsi="Calibri"/>
          <w:b/>
          <w:bCs/>
          <w:color w:val="0B0F19"/>
          <w:sz w:val="21"/>
          <w:szCs w:val="21"/>
        </w:rPr>
        <w:t xml:space="preserve">Bidirectional legibility:  </w:t>
      </w:r>
      <w:r>
        <w:rPr>
          <w:rFonts w:ascii="Calibri" w:cs="Calibri" w:eastAsia="Calibri" w:hAnsi="Calibri"/>
          <w:color w:val="26293B"/>
          <w:sz w:val="21"/>
          <w:szCs w:val="21"/>
        </w:rPr>
        <w:t xml:space="preserve">captions and voice output are sized and paced for the hearing listener; the camera framing guide and gesture confidence cues are designed for the signer — both sides of the conversation are first-class UI citizens.</w:t>
      </w:r>
    </w:p>
    <w:p>
      <w:pPr>
        <w:pStyle w:val="ListParagraph"/>
        <w:numPr>
          <w:ilvl w:val="0"/>
          <w:numId w:val="2"/>
        </w:numPr>
        <w:spacing w:after="100" w:line="290"/>
      </w:pPr>
      <w:r>
        <w:rPr>
          <w:rFonts w:ascii="Calibri" w:cs="Calibri" w:eastAsia="Calibri" w:hAnsi="Calibri"/>
          <w:b/>
          <w:bCs/>
          <w:color w:val="0B0F19"/>
          <w:sz w:val="21"/>
          <w:szCs w:val="21"/>
        </w:rPr>
        <w:t xml:space="preserve">Graceful uncertainty:  </w:t>
      </w:r>
      <w:r>
        <w:rPr>
          <w:rFonts w:ascii="Calibri" w:cs="Calibri" w:eastAsia="Calibri" w:hAnsi="Calibri"/>
          <w:color w:val="26293B"/>
          <w:sz w:val="21"/>
          <w:szCs w:val="21"/>
        </w:rPr>
        <w:t xml:space="preserve">low-confidence recognition never guesses silently — the UI clearly asks the user to repeat a sign rather than risk a wrong translation in a medical or legal context.</w:t>
      </w:r>
    </w:p>
    <w:p>
      <w:pPr>
        <w:pStyle w:val="ListParagraph"/>
        <w:numPr>
          <w:ilvl w:val="0"/>
          <w:numId w:val="2"/>
        </w:numPr>
        <w:spacing w:after="100" w:line="290"/>
      </w:pPr>
      <w:r>
        <w:rPr>
          <w:rFonts w:ascii="Calibri" w:cs="Calibri" w:eastAsia="Calibri" w:hAnsi="Calibri"/>
          <w:b/>
          <w:bCs/>
          <w:color w:val="0B0F19"/>
          <w:sz w:val="21"/>
          <w:szCs w:val="21"/>
        </w:rPr>
        <w:t xml:space="preserve">Consistent, inclusive visual language:  </w:t>
      </w:r>
      <w:r>
        <w:rPr>
          <w:rFonts w:ascii="Calibri" w:cs="Calibri" w:eastAsia="Calibri" w:hAnsi="Calibri"/>
          <w:color w:val="26293B"/>
          <w:sz w:val="21"/>
          <w:szCs w:val="21"/>
        </w:rPr>
        <w:t xml:space="preserve">a dark-mode-first, colorblind-safe palette with an accessible light-mode alternative; iconography avoids relying on color alone to convey meaning.</w:t>
      </w:r>
    </w:p>
    <w:p>
      <w:pPr>
        <w:pStyle w:val="Heading2"/>
        <w:spacing w:after="140" w:before="320"/>
      </w:pPr>
      <w:r>
        <w:rPr>
          <w:rFonts w:ascii="Poppins" w:cs="Poppins" w:eastAsia="Poppins" w:hAnsi="Poppins"/>
          <w:b/>
          <w:bCs/>
          <w:color w:val="1A2138"/>
          <w:sz w:val="24"/>
          <w:szCs w:val="24"/>
        </w:rPr>
        <w:t xml:space="preserve">9.2 Core Experience Flows</w:t>
      </w:r>
    </w:p>
    <w:p>
      <w:pPr>
        <w:pStyle w:val="ListParagraph"/>
        <w:numPr>
          <w:ilvl w:val="0"/>
          <w:numId w:val="2"/>
        </w:numPr>
        <w:spacing w:after="90" w:line="290"/>
      </w:pPr>
      <w:r>
        <w:rPr>
          <w:rFonts w:ascii="Calibri" w:cs="Calibri" w:eastAsia="Calibri" w:hAnsi="Calibri"/>
          <w:color w:val="26293B"/>
          <w:sz w:val="21"/>
          <w:szCs w:val="21"/>
        </w:rPr>
        <w:t xml:space="preserve">Onboarding: permission request → live framing guide (“position your hands in frame”) → guided first translation → language selection.</w:t>
      </w:r>
    </w:p>
    <w:p>
      <w:pPr>
        <w:pStyle w:val="ListParagraph"/>
        <w:numPr>
          <w:ilvl w:val="0"/>
          <w:numId w:val="2"/>
        </w:numPr>
        <w:spacing w:after="90" w:line="290"/>
      </w:pPr>
      <w:r>
        <w:rPr>
          <w:rFonts w:ascii="Calibri" w:cs="Calibri" w:eastAsia="Calibri" w:hAnsi="Calibri"/>
          <w:color w:val="26293B"/>
          <w:sz w:val="21"/>
          <w:szCs w:val="21"/>
        </w:rPr>
        <w:t xml:space="preserve">Live Translation: full-screen camera view, real-time caption bar, tap-to-hear-again, session transcript drawer.</w:t>
      </w:r>
    </w:p>
    <w:p>
      <w:pPr>
        <w:pStyle w:val="ListParagraph"/>
        <w:numPr>
          <w:ilvl w:val="0"/>
          <w:numId w:val="2"/>
        </w:numPr>
        <w:spacing w:after="90" w:line="290"/>
      </w:pPr>
      <w:r>
        <w:rPr>
          <w:rFonts w:ascii="Calibri" w:cs="Calibri" w:eastAsia="Calibri" w:hAnsi="Calibri"/>
          <w:color w:val="26293B"/>
          <w:sz w:val="21"/>
          <w:szCs w:val="21"/>
        </w:rPr>
        <w:t xml:space="preserve">Conversation Mode: two-column layout — signer's translated captions on one side, typed/spoken replies from the hearing party on the other.</w:t>
      </w:r>
    </w:p>
    <w:p>
      <w:pPr>
        <w:pStyle w:val="ListParagraph"/>
        <w:numPr>
          <w:ilvl w:val="0"/>
          <w:numId w:val="2"/>
        </w:numPr>
        <w:spacing w:after="90" w:line="290"/>
      </w:pPr>
      <w:r>
        <w:rPr>
          <w:rFonts w:ascii="Calibri" w:cs="Calibri" w:eastAsia="Calibri" w:hAnsi="Calibri"/>
          <w:color w:val="26293B"/>
          <w:sz w:val="21"/>
          <w:szCs w:val="21"/>
        </w:rPr>
        <w:t xml:space="preserve">Institutional Admin: role management, anonymized usage dashboards, language/branding configuration, security &amp; audit log viewer.</w:t>
      </w:r>
    </w:p>
    <w:p>
      <w:pPr>
        <w:pStyle w:val="Heading2"/>
        <w:spacing w:after="140" w:before="320"/>
      </w:pPr>
      <w:r>
        <w:rPr>
          <w:rFonts w:ascii="Poppins" w:cs="Poppins" w:eastAsia="Poppins" w:hAnsi="Poppins"/>
          <w:b/>
          <w:bCs/>
          <w:color w:val="1A2138"/>
          <w:sz w:val="24"/>
          <w:szCs w:val="24"/>
        </w:rPr>
        <w:t xml:space="preserve">9.3 Accessibility Commitments</w:t>
      </w:r>
    </w:p>
    <w:p>
      <w:pPr>
        <w:pStyle w:val="ListParagraph"/>
        <w:numPr>
          <w:ilvl w:val="0"/>
          <w:numId w:val="2"/>
        </w:numPr>
        <w:spacing w:after="90" w:line="290"/>
      </w:pPr>
      <w:r>
        <w:rPr>
          <w:rFonts w:ascii="Calibri" w:cs="Calibri" w:eastAsia="Calibri" w:hAnsi="Calibri"/>
          <w:color w:val="26293B"/>
          <w:sz w:val="21"/>
          <w:szCs w:val="21"/>
        </w:rPr>
        <w:t xml:space="preserve">WCAG 2.2 AA conformance across contrast ratios, focus states, and keyboard/switch-access navigation.</w:t>
      </w:r>
    </w:p>
    <w:p>
      <w:pPr>
        <w:pStyle w:val="ListParagraph"/>
        <w:numPr>
          <w:ilvl w:val="0"/>
          <w:numId w:val="2"/>
        </w:numPr>
        <w:spacing w:after="90" w:line="290"/>
      </w:pPr>
      <w:r>
        <w:rPr>
          <w:rFonts w:ascii="Calibri" w:cs="Calibri" w:eastAsia="Calibri" w:hAnsi="Calibri"/>
          <w:color w:val="26293B"/>
          <w:sz w:val="21"/>
          <w:szCs w:val="21"/>
        </w:rPr>
        <w:t xml:space="preserve">Full screen-reader compatibility for low-vision users interacting with menus and settings.</w:t>
      </w:r>
    </w:p>
    <w:p>
      <w:pPr>
        <w:pStyle w:val="ListParagraph"/>
        <w:numPr>
          <w:ilvl w:val="0"/>
          <w:numId w:val="2"/>
        </w:numPr>
        <w:spacing w:after="90" w:line="290"/>
      </w:pPr>
      <w:r>
        <w:rPr>
          <w:rFonts w:ascii="Calibri" w:cs="Calibri" w:eastAsia="Calibri" w:hAnsi="Calibri"/>
          <w:color w:val="26293B"/>
          <w:sz w:val="21"/>
          <w:szCs w:val="21"/>
        </w:rPr>
        <w:t xml:space="preserve">Adjustable caption size, speech rate, and voice selection to accommodate diverse user needs.</w:t>
      </w:r>
    </w:p>
    <w:p>
      <w:pPr>
        <w:pStyle w:val="ListParagraph"/>
        <w:numPr>
          <w:ilvl w:val="0"/>
          <w:numId w:val="2"/>
        </w:numPr>
        <w:spacing w:after="90" w:line="290"/>
      </w:pPr>
      <w:r>
        <w:rPr>
          <w:rFonts w:ascii="Calibri" w:cs="Calibri" w:eastAsia="Calibri" w:hAnsi="Calibri"/>
          <w:color w:val="26293B"/>
          <w:sz w:val="21"/>
          <w:szCs w:val="21"/>
        </w:rPr>
        <w:t xml:space="preserve">Usability validated directly with deaf and hard-of-hearing users throughout design, not only at the end (participatory design reviews each milestone).</w:t>
      </w:r>
    </w:p>
    <w:p>
      <w:r>
        <w:br w:type="page"/>
      </w:r>
    </w:p>
    <w:p>
      <w:pPr>
        <w:pStyle w:val="Heading1"/>
        <w:pBdr>
          <w:bottom w:val="single" w:color="EF6A35" w:sz="12" w:space="6"/>
        </w:pBdr>
        <w:spacing w:after="200" w:before="480"/>
      </w:pPr>
      <w:r>
        <w:rPr>
          <w:rFonts w:ascii="Poppins" w:cs="Poppins" w:eastAsia="Poppins" w:hAnsi="Poppins"/>
          <w:b/>
          <w:bCs/>
          <w:color w:val="EF6A35"/>
        </w:rPr>
        <w:t xml:space="preserve">10  </w:t>
      </w:r>
      <w:r>
        <w:rPr>
          <w:rFonts w:ascii="Poppins" w:cs="Poppins" w:eastAsia="Poppins" w:hAnsi="Poppins"/>
          <w:b/>
          <w:bCs/>
          <w:color w:val="0B0F19"/>
          <w:sz w:val="30"/>
          <w:szCs w:val="30"/>
        </w:rPr>
        <w:t xml:space="preserve">Security &amp; Privacy (Security-by-Design)</w:t>
      </w:r>
    </w:p>
    <w:p>
      <w:pPr>
        <w:spacing w:after="160" w:line="300"/>
      </w:pPr>
      <w:r>
        <w:rPr>
          <w:rFonts w:ascii="Calibri" w:cs="Calibri" w:eastAsia="Calibri" w:hAnsi="Calibri"/>
          <w:color w:val="26293B"/>
          <w:sz w:val="21"/>
          <w:szCs w:val="21"/>
        </w:rPr>
        <w:t xml:space="preserve">SignBridge AI processes deeply personal data — a person's likeness, health context, and communication content. Security is treated as a core product requirement, not an add-on, with the on-device architecture itself acting as the primary privacy control.</w:t>
      </w:r>
    </w:p>
    <w:p>
      <w:pPr>
        <w:pStyle w:val="Heading2"/>
        <w:spacing w:after="140" w:before="320"/>
      </w:pPr>
      <w:r>
        <w:rPr>
          <w:rFonts w:ascii="Poppins" w:cs="Poppins" w:eastAsia="Poppins" w:hAnsi="Poppins"/>
          <w:b/>
          <w:bCs/>
          <w:color w:val="1A2138"/>
          <w:sz w:val="24"/>
          <w:szCs w:val="24"/>
        </w:rPr>
        <w:t xml:space="preserve">10.1 Data Classification &amp; Handling</w:t>
      </w:r>
    </w:p>
    <w:tbl>
      <w:tblPr>
        <w:tblW w:type="dxa" w:w="8950"/>
        <w:tblBorders>
          <w:top w:val="single" w:color="D9DCE5" w:sz="4"/>
          <w:left w:val="single" w:color="D9DCE5" w:sz="4"/>
          <w:bottom w:val="single" w:color="D9DCE5" w:sz="4"/>
          <w:right w:val="single" w:color="D9DCE5" w:sz="4"/>
          <w:insideH w:val="single" w:color="D9DCE5" w:sz="4"/>
          <w:insideV w:val="single" w:color="D9DCE5" w:sz="4"/>
        </w:tblBorders>
      </w:tblPr>
      <w:tblGrid>
        <w:gridCol w:w="2900"/>
        <w:gridCol w:w="3200"/>
        <w:gridCol w:w="2850"/>
      </w:tblGrid>
      <w:tr>
        <w:trPr>
          <w:cantSplit/>
          <w:tblHeader/>
        </w:trPr>
        <w:tc>
          <w:tcPr>
            <w:tcW w:type="dxa" w:w="29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Data Type</w:t>
            </w:r>
          </w:p>
        </w:tc>
        <w:tc>
          <w:tcPr>
            <w:tcW w:type="dxa" w:w="32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Handling</w:t>
            </w:r>
          </w:p>
        </w:tc>
        <w:tc>
          <w:tcPr>
            <w:tcW w:type="dxa" w:w="285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Retention</w:t>
            </w:r>
          </w:p>
        </w:tc>
      </w:tr>
      <w:tr>
        <w:trPr>
          <w:cantSplit/>
        </w:trPr>
        <w:tc>
          <w:tcPr>
            <w:tcW w:type="dxa" w:w="2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Raw camera frames</w:t>
            </w:r>
          </w:p>
        </w:tc>
        <w:tc>
          <w:tcPr>
            <w:tcW w:type="dxa" w:w="32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Never stored or transmitted; processed in-memory and discarded immediately after keypoint extraction.</w:t>
            </w:r>
          </w:p>
        </w:tc>
        <w:tc>
          <w:tcPr>
            <w:tcW w:type="dxa" w:w="28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0 seconds — not persisted</w:t>
            </w:r>
          </w:p>
        </w:tc>
      </w:tr>
      <w:tr>
        <w:trPr>
          <w:cantSplit/>
        </w:trPr>
        <w:tc>
          <w:tcPr>
            <w:tcW w:type="dxa" w:w="2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Skeletal keypoints</w:t>
            </w:r>
          </w:p>
        </w:tc>
        <w:tc>
          <w:tcPr>
            <w:tcW w:type="dxa" w:w="32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Anonymized numeric coordinates; stay on-device unless the user explicitly opts in to model-improvement sharing.</w:t>
            </w:r>
          </w:p>
        </w:tc>
        <w:tc>
          <w:tcPr>
            <w:tcW w:type="dxa" w:w="28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Session-only by default</w:t>
            </w:r>
          </w:p>
        </w:tc>
      </w:tr>
      <w:tr>
        <w:trPr>
          <w:cantSplit/>
        </w:trPr>
        <w:tc>
          <w:tcPr>
            <w:tcW w:type="dxa" w:w="2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Session transcripts (text)</w:t>
            </w:r>
          </w:p>
        </w:tc>
        <w:tc>
          <w:tcPr>
            <w:tcW w:type="dxa" w:w="32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Encrypted at rest on-device (AES-256); optionally synced to the user's own encrypted cloud storage.</w:t>
            </w:r>
          </w:p>
        </w:tc>
        <w:tc>
          <w:tcPr>
            <w:tcW w:type="dxa" w:w="28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User-controlled; deletable on demand</w:t>
            </w:r>
          </w:p>
        </w:tc>
      </w:tr>
      <w:tr>
        <w:trPr>
          <w:cantSplit/>
        </w:trPr>
        <w:tc>
          <w:tcPr>
            <w:tcW w:type="dxa" w:w="2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Account &amp; identity data</w:t>
            </w:r>
          </w:p>
        </w:tc>
        <w:tc>
          <w:tcPr>
            <w:tcW w:type="dxa" w:w="32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Stored in the cloud identity service, encrypted at rest and in transit.</w:t>
            </w:r>
          </w:p>
        </w:tc>
        <w:tc>
          <w:tcPr>
            <w:tcW w:type="dxa" w:w="28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Per institutional data-retention policy</w:t>
            </w:r>
          </w:p>
        </w:tc>
      </w:tr>
      <w:tr>
        <w:trPr>
          <w:cantSplit/>
        </w:trPr>
        <w:tc>
          <w:tcPr>
            <w:tcW w:type="dxa" w:w="2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Admin/audit logs</w:t>
            </w:r>
          </w:p>
        </w:tc>
        <w:tc>
          <w:tcPr>
            <w:tcW w:type="dxa" w:w="32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Immutable, access-controlled logs of security-relevant actions only — no biometric content.</w:t>
            </w:r>
          </w:p>
        </w:tc>
        <w:tc>
          <w:tcPr>
            <w:tcW w:type="dxa" w:w="28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12–24 months per compliance tier</w:t>
            </w:r>
          </w:p>
        </w:tc>
      </w:tr>
    </w:tbl>
    <w:p>
      <w:pPr>
        <w:pStyle w:val="Heading2"/>
        <w:spacing w:after="140" w:before="320"/>
      </w:pPr>
      <w:r>
        <w:rPr>
          <w:rFonts w:ascii="Poppins" w:cs="Poppins" w:eastAsia="Poppins" w:hAnsi="Poppins"/>
          <w:b/>
          <w:bCs/>
          <w:color w:val="1A2138"/>
          <w:sz w:val="24"/>
          <w:szCs w:val="24"/>
        </w:rPr>
        <w:t xml:space="preserve">10.2 Threat Model — STRIDE Summary</w:t>
      </w:r>
    </w:p>
    <w:tbl>
      <w:tblPr>
        <w:tblW w:type="dxa" w:w="8950"/>
        <w:tblBorders>
          <w:top w:val="single" w:color="D9DCE5" w:sz="4"/>
          <w:left w:val="single" w:color="D9DCE5" w:sz="4"/>
          <w:bottom w:val="single" w:color="D9DCE5" w:sz="4"/>
          <w:right w:val="single" w:color="D9DCE5" w:sz="4"/>
          <w:insideH w:val="single" w:color="D9DCE5" w:sz="4"/>
          <w:insideV w:val="single" w:color="D9DCE5" w:sz="4"/>
        </w:tblBorders>
      </w:tblPr>
      <w:tblGrid>
        <w:gridCol w:w="1900"/>
        <w:gridCol w:w="3900"/>
        <w:gridCol w:w="3150"/>
      </w:tblGrid>
      <w:tr>
        <w:trPr>
          <w:cantSplit/>
          <w:tblHeader/>
        </w:trPr>
        <w:tc>
          <w:tcPr>
            <w:tcW w:type="dxa" w:w="19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Threat</w:t>
            </w:r>
          </w:p>
        </w:tc>
        <w:tc>
          <w:tcPr>
            <w:tcW w:type="dxa" w:w="39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Example Risk</w:t>
            </w:r>
          </w:p>
        </w:tc>
        <w:tc>
          <w:tcPr>
            <w:tcW w:type="dxa" w:w="315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Primary Mitigation</w:t>
            </w:r>
          </w:p>
        </w:tc>
      </w:tr>
      <w:tr>
        <w:trPr>
          <w:cantSplit/>
        </w:trPr>
        <w:tc>
          <w:tcPr>
            <w:tcW w:type="dxa" w:w="1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Spoofing</w:t>
            </w:r>
          </w:p>
        </w:tc>
        <w:tc>
          <w:tcPr>
            <w:tcW w:type="dxa" w:w="3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Attacker impersonates an institutional admin account.</w:t>
            </w:r>
          </w:p>
        </w:tc>
        <w:tc>
          <w:tcPr>
            <w:tcW w:type="dxa" w:w="3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MFA enforced on all admin/staff roles; SSO via SAML/OIDC</w:t>
            </w:r>
          </w:p>
        </w:tc>
      </w:tr>
      <w:tr>
        <w:trPr>
          <w:cantSplit/>
        </w:trPr>
        <w:tc>
          <w:tcPr>
            <w:tcW w:type="dxa" w:w="1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Tampering</w:t>
            </w:r>
          </w:p>
        </w:tc>
        <w:tc>
          <w:tcPr>
            <w:tcW w:type="dxa" w:w="3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Malicious modification of the on-device ML model or app binary.</w:t>
            </w:r>
          </w:p>
        </w:tc>
        <w:tc>
          <w:tcPr>
            <w:tcW w:type="dxa" w:w="3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Code-signed releases, model checksum verification, integrity checks at app launch</w:t>
            </w:r>
          </w:p>
        </w:tc>
      </w:tr>
      <w:tr>
        <w:trPr>
          <w:cantSplit/>
        </w:trPr>
        <w:tc>
          <w:tcPr>
            <w:tcW w:type="dxa" w:w="1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Repudiation</w:t>
            </w:r>
          </w:p>
        </w:tc>
        <w:tc>
          <w:tcPr>
            <w:tcW w:type="dxa" w:w="3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Admin denies performing a sensitive action (e.g., data export).</w:t>
            </w:r>
          </w:p>
        </w:tc>
        <w:tc>
          <w:tcPr>
            <w:tcW w:type="dxa" w:w="3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Immutable, timestamped audit logging with user attribution</w:t>
            </w:r>
          </w:p>
        </w:tc>
      </w:tr>
      <w:tr>
        <w:trPr>
          <w:cantSplit/>
        </w:trPr>
        <w:tc>
          <w:tcPr>
            <w:tcW w:type="dxa" w:w="1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Information Disclosure</w:t>
            </w:r>
          </w:p>
        </w:tc>
        <w:tc>
          <w:tcPr>
            <w:tcW w:type="dxa" w:w="3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Video or biometric data intercepted or exfiltrated.</w:t>
            </w:r>
          </w:p>
        </w:tc>
        <w:tc>
          <w:tcPr>
            <w:tcW w:type="dxa" w:w="3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No video leaves the device by design; TLS 1.3 for any network traffic; field-level encryption for synced data</w:t>
            </w:r>
          </w:p>
        </w:tc>
      </w:tr>
      <w:tr>
        <w:trPr>
          <w:cantSplit/>
        </w:trPr>
        <w:tc>
          <w:tcPr>
            <w:tcW w:type="dxa" w:w="1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Denial of Service</w:t>
            </w:r>
          </w:p>
        </w:tc>
        <w:tc>
          <w:tcPr>
            <w:tcW w:type="dxa" w:w="3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Cloud admin/auth services flooded to block institutional access.</w:t>
            </w:r>
          </w:p>
        </w:tc>
        <w:tc>
          <w:tcPr>
            <w:tcW w:type="dxa" w:w="3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Rate limiting, autoscaling, WAF, and DDoS protection at the edge</w:t>
            </w:r>
          </w:p>
        </w:tc>
      </w:tr>
      <w:tr>
        <w:trPr>
          <w:cantSplit/>
        </w:trPr>
        <w:tc>
          <w:tcPr>
            <w:tcW w:type="dxa" w:w="1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Elevation of Privilege</w:t>
            </w:r>
          </w:p>
        </w:tc>
        <w:tc>
          <w:tcPr>
            <w:tcW w:type="dxa" w:w="39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Standard user gains admin-level access.</w:t>
            </w:r>
          </w:p>
        </w:tc>
        <w:tc>
          <w:tcPr>
            <w:tcW w:type="dxa" w:w="31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Strict RBAC, least-privilege service accounts, server-side authorization checks on every request</w:t>
            </w:r>
          </w:p>
        </w:tc>
      </w:tr>
    </w:tbl>
    <w:p>
      <w:pPr>
        <w:pStyle w:val="Heading2"/>
        <w:spacing w:after="140" w:before="320"/>
      </w:pPr>
      <w:r>
        <w:rPr>
          <w:rFonts w:ascii="Poppins" w:cs="Poppins" w:eastAsia="Poppins" w:hAnsi="Poppins"/>
          <w:b/>
          <w:bCs/>
          <w:color w:val="1A2138"/>
          <w:sz w:val="24"/>
          <w:szCs w:val="24"/>
        </w:rPr>
        <w:t xml:space="preserve">10.3 Application &amp; Infrastructure Security Controls</w:t>
      </w:r>
    </w:p>
    <w:p>
      <w:pPr>
        <w:pStyle w:val="ListParagraph"/>
        <w:numPr>
          <w:ilvl w:val="0"/>
          <w:numId w:val="2"/>
        </w:numPr>
        <w:spacing w:after="100" w:line="290"/>
      </w:pPr>
      <w:r>
        <w:rPr>
          <w:rFonts w:ascii="Calibri" w:cs="Calibri" w:eastAsia="Calibri" w:hAnsi="Calibri"/>
          <w:b/>
          <w:bCs/>
          <w:color w:val="0B0F19"/>
          <w:sz w:val="21"/>
          <w:szCs w:val="21"/>
        </w:rPr>
        <w:t xml:space="preserve">Secure SDLC:  </w:t>
      </w:r>
      <w:r>
        <w:rPr>
          <w:rFonts w:ascii="Calibri" w:cs="Calibri" w:eastAsia="Calibri" w:hAnsi="Calibri"/>
          <w:color w:val="26293B"/>
          <w:sz w:val="21"/>
          <w:szCs w:val="21"/>
        </w:rPr>
        <w:t xml:space="preserve">mandatory peer code review, SAST and dependency/SCA scanning in CI, DAST against staging before every release, and a signed release pipeline.</w:t>
      </w:r>
    </w:p>
    <w:p>
      <w:pPr>
        <w:pStyle w:val="ListParagraph"/>
        <w:numPr>
          <w:ilvl w:val="0"/>
          <w:numId w:val="2"/>
        </w:numPr>
        <w:spacing w:after="100" w:line="290"/>
      </w:pPr>
      <w:r>
        <w:rPr>
          <w:rFonts w:ascii="Calibri" w:cs="Calibri" w:eastAsia="Calibri" w:hAnsi="Calibri"/>
          <w:b/>
          <w:bCs/>
          <w:color w:val="0B0F19"/>
          <w:sz w:val="21"/>
          <w:szCs w:val="21"/>
        </w:rPr>
        <w:t xml:space="preserve">Authentication:  </w:t>
      </w:r>
      <w:r>
        <w:rPr>
          <w:rFonts w:ascii="Calibri" w:cs="Calibri" w:eastAsia="Calibri" w:hAnsi="Calibri"/>
          <w:color w:val="26293B"/>
          <w:sz w:val="21"/>
          <w:szCs w:val="21"/>
        </w:rPr>
        <w:t xml:space="preserve">OAuth 2.0/OIDC, institutional SSO (SAML), mandatory MFA for admin and staff roles, short-lived session tokens with refresh rotation.</w:t>
      </w:r>
    </w:p>
    <w:p>
      <w:pPr>
        <w:pStyle w:val="ListParagraph"/>
        <w:numPr>
          <w:ilvl w:val="0"/>
          <w:numId w:val="2"/>
        </w:numPr>
        <w:spacing w:after="100" w:line="290"/>
      </w:pPr>
      <w:r>
        <w:rPr>
          <w:rFonts w:ascii="Calibri" w:cs="Calibri" w:eastAsia="Calibri" w:hAnsi="Calibri"/>
          <w:b/>
          <w:bCs/>
          <w:color w:val="0B0F19"/>
          <w:sz w:val="21"/>
          <w:szCs w:val="21"/>
        </w:rPr>
        <w:t xml:space="preserve">Authorization:  </w:t>
      </w:r>
      <w:r>
        <w:rPr>
          <w:rFonts w:ascii="Calibri" w:cs="Calibri" w:eastAsia="Calibri" w:hAnsi="Calibri"/>
          <w:color w:val="26293B"/>
          <w:sz w:val="21"/>
          <w:szCs w:val="21"/>
        </w:rPr>
        <w:t xml:space="preserve">role-based access control (Individual, Staff, Institution Admin, Platform Admin) enforced server-side on every API call — never trusted from the client.</w:t>
      </w:r>
    </w:p>
    <w:p>
      <w:pPr>
        <w:pStyle w:val="ListParagraph"/>
        <w:numPr>
          <w:ilvl w:val="0"/>
          <w:numId w:val="2"/>
        </w:numPr>
        <w:spacing w:after="100" w:line="290"/>
      </w:pPr>
      <w:r>
        <w:rPr>
          <w:rFonts w:ascii="Calibri" w:cs="Calibri" w:eastAsia="Calibri" w:hAnsi="Calibri"/>
          <w:b/>
          <w:bCs/>
          <w:color w:val="0B0F19"/>
          <w:sz w:val="21"/>
          <w:szCs w:val="21"/>
        </w:rPr>
        <w:t xml:space="preserve">Encryption:  </w:t>
      </w:r>
      <w:r>
        <w:rPr>
          <w:rFonts w:ascii="Calibri" w:cs="Calibri" w:eastAsia="Calibri" w:hAnsi="Calibri"/>
          <w:color w:val="26293B"/>
          <w:sz w:val="21"/>
          <w:szCs w:val="21"/>
        </w:rPr>
        <w:t xml:space="preserve">TLS 1.3 in transit everywhere; AES-256 at rest for any synced transcripts, account data, and backups; dedicated key-management service with regular key rotation.</w:t>
      </w:r>
    </w:p>
    <w:p>
      <w:pPr>
        <w:pStyle w:val="ListParagraph"/>
        <w:numPr>
          <w:ilvl w:val="0"/>
          <w:numId w:val="2"/>
        </w:numPr>
        <w:spacing w:after="100" w:line="290"/>
      </w:pPr>
      <w:r>
        <w:rPr>
          <w:rFonts w:ascii="Calibri" w:cs="Calibri" w:eastAsia="Calibri" w:hAnsi="Calibri"/>
          <w:b/>
          <w:bCs/>
          <w:color w:val="0B0F19"/>
          <w:sz w:val="21"/>
          <w:szCs w:val="21"/>
        </w:rPr>
        <w:t xml:space="preserve">API security:  </w:t>
      </w:r>
      <w:r>
        <w:rPr>
          <w:rFonts w:ascii="Calibri" w:cs="Calibri" w:eastAsia="Calibri" w:hAnsi="Calibri"/>
          <w:color w:val="26293B"/>
          <w:sz w:val="21"/>
          <w:szCs w:val="21"/>
        </w:rPr>
        <w:t xml:space="preserve">input validation and schema enforcement on every endpoint, rate limiting and anomaly detection, and mitigation mapped explicitly to the OWASP API Security Top 10.</w:t>
      </w:r>
    </w:p>
    <w:p>
      <w:pPr>
        <w:pStyle w:val="ListParagraph"/>
        <w:numPr>
          <w:ilvl w:val="0"/>
          <w:numId w:val="2"/>
        </w:numPr>
        <w:spacing w:after="100" w:line="290"/>
      </w:pPr>
      <w:r>
        <w:rPr>
          <w:rFonts w:ascii="Calibri" w:cs="Calibri" w:eastAsia="Calibri" w:hAnsi="Calibri"/>
          <w:b/>
          <w:bCs/>
          <w:color w:val="0B0F19"/>
          <w:sz w:val="21"/>
          <w:szCs w:val="21"/>
        </w:rPr>
        <w:t xml:space="preserve">Infrastructure hardening:  </w:t>
      </w:r>
      <w:r>
        <w:rPr>
          <w:rFonts w:ascii="Calibri" w:cs="Calibri" w:eastAsia="Calibri" w:hAnsi="Calibri"/>
          <w:color w:val="26293B"/>
          <w:sz w:val="21"/>
          <w:szCs w:val="21"/>
        </w:rPr>
        <w:t xml:space="preserve">network segmentation between admin, analytics, and identity services; least-privilege IAM; secrets managed via a dedicated vault, never in code or config files.</w:t>
      </w:r>
    </w:p>
    <w:p>
      <w:pPr>
        <w:pStyle w:val="ListParagraph"/>
        <w:numPr>
          <w:ilvl w:val="0"/>
          <w:numId w:val="2"/>
        </w:numPr>
        <w:spacing w:after="100" w:line="290"/>
      </w:pPr>
      <w:r>
        <w:rPr>
          <w:rFonts w:ascii="Calibri" w:cs="Calibri" w:eastAsia="Calibri" w:hAnsi="Calibri"/>
          <w:b/>
          <w:bCs/>
          <w:color w:val="0B0F19"/>
          <w:sz w:val="21"/>
          <w:szCs w:val="21"/>
        </w:rPr>
        <w:t xml:space="preserve">Vulnerability management:  </w:t>
      </w:r>
      <w:r>
        <w:rPr>
          <w:rFonts w:ascii="Calibri" w:cs="Calibri" w:eastAsia="Calibri" w:hAnsi="Calibri"/>
          <w:color w:val="26293B"/>
          <w:sz w:val="21"/>
          <w:szCs w:val="21"/>
        </w:rPr>
        <w:t xml:space="preserve">quarterly third-party penetration testing, continuous automated vulnerability scanning, and a published responsible-disclosure program.</w:t>
      </w:r>
    </w:p>
    <w:p>
      <w:pPr>
        <w:pStyle w:val="ListParagraph"/>
        <w:numPr>
          <w:ilvl w:val="0"/>
          <w:numId w:val="2"/>
        </w:numPr>
        <w:spacing w:after="100" w:line="290"/>
      </w:pPr>
      <w:r>
        <w:rPr>
          <w:rFonts w:ascii="Calibri" w:cs="Calibri" w:eastAsia="Calibri" w:hAnsi="Calibri"/>
          <w:b/>
          <w:bCs/>
          <w:color w:val="0B0F19"/>
          <w:sz w:val="21"/>
          <w:szCs w:val="21"/>
        </w:rPr>
        <w:t xml:space="preserve">Incident response:  </w:t>
      </w:r>
      <w:r>
        <w:rPr>
          <w:rFonts w:ascii="Calibri" w:cs="Calibri" w:eastAsia="Calibri" w:hAnsi="Calibri"/>
          <w:color w:val="26293B"/>
          <w:sz w:val="21"/>
          <w:szCs w:val="21"/>
        </w:rPr>
        <w:t xml:space="preserve">a documented IR playbook with defined severity tiers, breach-notification timelines aligned to GDPR/DPDP requirements, and tabletop exercises run twice yearly.</w:t>
      </w:r>
    </w:p>
    <w:p>
      <w:pPr>
        <w:pStyle w:val="Heading2"/>
        <w:spacing w:after="140" w:before="320"/>
      </w:pPr>
      <w:r>
        <w:rPr>
          <w:rFonts w:ascii="Poppins" w:cs="Poppins" w:eastAsia="Poppins" w:hAnsi="Poppins"/>
          <w:b/>
          <w:bCs/>
          <w:color w:val="1A2138"/>
          <w:sz w:val="24"/>
          <w:szCs w:val="24"/>
        </w:rPr>
        <w:t xml:space="preserve">10.4 Compliance Mapping</w:t>
      </w:r>
    </w:p>
    <w:tbl>
      <w:tblPr>
        <w:tblW w:type="dxa" w:w="8950"/>
        <w:tblBorders>
          <w:top w:val="single" w:color="D9DCE5" w:sz="4"/>
          <w:left w:val="single" w:color="D9DCE5" w:sz="4"/>
          <w:bottom w:val="single" w:color="D9DCE5" w:sz="4"/>
          <w:right w:val="single" w:color="D9DCE5" w:sz="4"/>
          <w:insideH w:val="single" w:color="D9DCE5" w:sz="4"/>
          <w:insideV w:val="single" w:color="D9DCE5" w:sz="4"/>
        </w:tblBorders>
      </w:tblPr>
      <w:tblGrid>
        <w:gridCol w:w="2400"/>
        <w:gridCol w:w="6550"/>
      </w:tblGrid>
      <w:tr>
        <w:trPr>
          <w:cantSplit/>
          <w:tblHeader/>
        </w:trPr>
        <w:tc>
          <w:tcPr>
            <w:tcW w:type="dxa" w:w="24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Framework</w:t>
            </w:r>
          </w:p>
        </w:tc>
        <w:tc>
          <w:tcPr>
            <w:tcW w:type="dxa" w:w="655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Relevance</w:t>
            </w:r>
          </w:p>
        </w:tc>
      </w:tr>
      <w:tr>
        <w:trPr>
          <w:cantSplit/>
        </w:trPr>
        <w:tc>
          <w:tcPr>
            <w:tcW w:type="dxa" w:w="2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GDPR (EU)</w:t>
            </w:r>
          </w:p>
        </w:tc>
        <w:tc>
          <w:tcPr>
            <w:tcW w:type="dxa" w:w="65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Data minimization by design (no video retention), right-to-erasure support for synced transcripts, documented lawful basis for any optional data sharing.</w:t>
            </w:r>
          </w:p>
        </w:tc>
      </w:tr>
      <w:tr>
        <w:trPr>
          <w:cantSplit/>
        </w:trPr>
        <w:tc>
          <w:tcPr>
            <w:tcW w:type="dxa" w:w="2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India DPDP Act</w:t>
            </w:r>
          </w:p>
        </w:tc>
        <w:tc>
          <w:tcPr>
            <w:tcW w:type="dxa" w:w="65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Consent-first architecture for the optional keypoint-sharing feature; data-principal rights (access/deletion) supported via account settings.</w:t>
            </w:r>
          </w:p>
        </w:tc>
      </w:tr>
      <w:tr>
        <w:trPr>
          <w:cantSplit/>
        </w:trPr>
        <w:tc>
          <w:tcPr>
            <w:tcW w:type="dxa" w:w="2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HIPAA (US healthcare deployments)</w:t>
            </w:r>
          </w:p>
        </w:tc>
        <w:tc>
          <w:tcPr>
            <w:tcW w:type="dxa" w:w="65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On-device processing avoids creating PHI-bearing video transmissions; Business Associate Agreement available for institutional cloud services.</w:t>
            </w:r>
          </w:p>
        </w:tc>
      </w:tr>
      <w:tr>
        <w:trPr>
          <w:cantSplit/>
        </w:trPr>
        <w:tc>
          <w:tcPr>
            <w:tcW w:type="dxa" w:w="2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WCAG 2.2 AA</w:t>
            </w:r>
          </w:p>
        </w:tc>
        <w:tc>
          <w:tcPr>
            <w:tcW w:type="dxa" w:w="65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Accessibility conformance audited and documented ahead of institutional procurement reviews.</w:t>
            </w:r>
          </w:p>
        </w:tc>
      </w:tr>
      <w:tr>
        <w:trPr>
          <w:cantSplit/>
        </w:trPr>
        <w:tc>
          <w:tcPr>
            <w:tcW w:type="dxa" w:w="2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SOC 2 Type II (target)</w:t>
            </w:r>
          </w:p>
        </w:tc>
        <w:tc>
          <w:tcPr>
            <w:tcW w:type="dxa" w:w="65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Cloud admin/identity services scoped for SOC 2 audit readiness within 12 months of institutional GA.</w:t>
            </w:r>
          </w:p>
        </w:tc>
      </w:tr>
    </w:tbl>
    <w:p>
      <w:pPr>
        <w:spacing w:after="80"/>
      </w:pPr>
    </w:p>
    <w:tbl>
      <w:tblPr>
        <w:tblW w:type="dxa" w:w="9350"/>
        <w:tblBorders>
          <w:top w:val="single" w:color="C44E1E" w:sz="4"/>
          <w:left w:val="single" w:color="C44E1E" w:sz="24"/>
          <w:bottom w:val="single" w:color="C44E1E" w:sz="4"/>
          <w:right w:val="single" w:color="C44E1E" w:sz="4"/>
          <w:insideH w:val="single" w:color="auto" w:sz="4"/>
          <w:insideV w:val="single" w:color="auto" w:sz="4"/>
        </w:tblBorders>
      </w:tblPr>
      <w:tblGrid>
        <w:gridCol w:w="9350"/>
      </w:tblGrid>
      <w:tr>
        <w:trPr>
          <w:cantSplit/>
        </w:trPr>
        <w:tc>
          <w:tcPr>
            <w:tcW w:type="dxa" w:w="9350"/>
            <w:shd w:fill="FBEDE6" w:val="clear"/>
            <w:tcMar>
              <w:top w:type="dxa" w:w="160"/>
              <w:left w:type="dxa" w:w="220"/>
              <w:bottom w:type="dxa" w:w="160"/>
              <w:right w:type="dxa" w:w="220"/>
            </w:tcMar>
          </w:tcPr>
          <w:p>
            <w:pPr>
              <w:spacing w:after="60"/>
            </w:pPr>
            <w:r>
              <w:rPr>
                <w:rFonts w:ascii="Poppins" w:cs="Poppins" w:eastAsia="Poppins" w:hAnsi="Poppins"/>
                <w:b/>
                <w:bCs/>
                <w:color w:val="C44E1E"/>
                <w:sz w:val="19"/>
                <w:szCs w:val="19"/>
              </w:rPr>
              <w:t xml:space="preserve">Security Principle</w:t>
            </w:r>
          </w:p>
          <w:p>
            <w:pPr>
              <w:spacing w:after="0"/>
            </w:pPr>
            <w:r>
              <w:rPr>
                <w:rFonts w:ascii="Calibri" w:cs="Calibri" w:eastAsia="Calibri" w:hAnsi="Calibri"/>
                <w:color w:val="26293B"/>
                <w:sz w:val="20"/>
                <w:szCs w:val="20"/>
              </w:rPr>
              <w:t xml:space="preserve">The single strongest security control in SignBridge AI is architectural: sensitive biometric video is never centralized in the first place. Every other control exists to protect the much smaller, much less sensitive surface that remains — accounts, transcripts, and configuration.</w:t>
            </w:r>
          </w:p>
        </w:tc>
      </w:tr>
    </w:tbl>
    <w:p>
      <w:pPr>
        <w:pStyle w:val="Heading1"/>
        <w:pBdr>
          <w:bottom w:val="single" w:color="EF6A35" w:sz="12" w:space="6"/>
        </w:pBdr>
        <w:spacing w:after="200" w:before="480"/>
      </w:pPr>
      <w:r>
        <w:rPr>
          <w:rFonts w:ascii="Poppins" w:cs="Poppins" w:eastAsia="Poppins" w:hAnsi="Poppins"/>
          <w:b/>
          <w:bCs/>
          <w:color w:val="EF6A35"/>
        </w:rPr>
        <w:t xml:space="preserve">11  </w:t>
      </w:r>
      <w:r>
        <w:rPr>
          <w:rFonts w:ascii="Poppins" w:cs="Poppins" w:eastAsia="Poppins" w:hAnsi="Poppins"/>
          <w:b/>
          <w:bCs/>
          <w:color w:val="0B0F19"/>
          <w:sz w:val="30"/>
          <w:szCs w:val="30"/>
        </w:rPr>
        <w:t xml:space="preserve">Success Metrics</w:t>
      </w:r>
    </w:p>
    <w:tbl>
      <w:tblPr>
        <w:tblW w:type="dxa" w:w="8950"/>
        <w:tblBorders>
          <w:top w:val="single" w:color="D9DCE5" w:sz="4"/>
          <w:left w:val="single" w:color="D9DCE5" w:sz="4"/>
          <w:bottom w:val="single" w:color="D9DCE5" w:sz="4"/>
          <w:right w:val="single" w:color="D9DCE5" w:sz="4"/>
          <w:insideH w:val="single" w:color="D9DCE5" w:sz="4"/>
          <w:insideV w:val="single" w:color="D9DCE5" w:sz="4"/>
        </w:tblBorders>
      </w:tblPr>
      <w:tblGrid>
        <w:gridCol w:w="2600"/>
        <w:gridCol w:w="3400"/>
        <w:gridCol w:w="2950"/>
      </w:tblGrid>
      <w:tr>
        <w:trPr>
          <w:cantSplit/>
          <w:tblHeader/>
        </w:trPr>
        <w:tc>
          <w:tcPr>
            <w:tcW w:type="dxa" w:w="26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Category</w:t>
            </w:r>
          </w:p>
        </w:tc>
        <w:tc>
          <w:tcPr>
            <w:tcW w:type="dxa" w:w="34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Metric</w:t>
            </w:r>
          </w:p>
        </w:tc>
        <w:tc>
          <w:tcPr>
            <w:tcW w:type="dxa" w:w="295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Target (Phase 1–2)</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Product Quality</w:t>
            </w:r>
          </w:p>
        </w:tc>
        <w:tc>
          <w:tcPr>
            <w:tcW w:type="dxa" w:w="3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Gesture recognition accuracy</w:t>
            </w:r>
          </w:p>
        </w:tc>
        <w:tc>
          <w:tcPr>
            <w:tcW w:type="dxa" w:w="29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 95% on core vocabulary set</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Product Quality</w:t>
            </w:r>
          </w:p>
        </w:tc>
        <w:tc>
          <w:tcPr>
            <w:tcW w:type="dxa" w:w="3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End-to-end translation latency</w:t>
            </w:r>
          </w:p>
        </w:tc>
        <w:tc>
          <w:tcPr>
            <w:tcW w:type="dxa" w:w="29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&lt; 100 ms (P95)</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Adoption</w:t>
            </w:r>
          </w:p>
        </w:tc>
        <w:tc>
          <w:tcPr>
            <w:tcW w:type="dxa" w:w="3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Weekly active individual users</w:t>
            </w:r>
          </w:p>
        </w:tc>
        <w:tc>
          <w:tcPr>
            <w:tcW w:type="dxa" w:w="29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10,000+ within 6 months of GA</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Adoption</w:t>
            </w:r>
          </w:p>
        </w:tc>
        <w:tc>
          <w:tcPr>
            <w:tcW w:type="dxa" w:w="3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Institutional pilots signed</w:t>
            </w:r>
          </w:p>
        </w:tc>
        <w:tc>
          <w:tcPr>
            <w:tcW w:type="dxa" w:w="29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3+ within 2 quarters</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Trust &amp; Accessibility</w:t>
            </w:r>
          </w:p>
        </w:tc>
        <w:tc>
          <w:tcPr>
            <w:tcW w:type="dxa" w:w="3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WCAG 2.2 AA audit pass rate</w:t>
            </w:r>
          </w:p>
        </w:tc>
        <w:tc>
          <w:tcPr>
            <w:tcW w:type="dxa" w:w="29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100% of core flows</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Trust &amp; Accessibility</w:t>
            </w:r>
          </w:p>
        </w:tc>
        <w:tc>
          <w:tcPr>
            <w:tcW w:type="dxa" w:w="3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Security incidents involving biometric data</w:t>
            </w:r>
          </w:p>
        </w:tc>
        <w:tc>
          <w:tcPr>
            <w:tcW w:type="dxa" w:w="29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0 (by architectural design)</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Business</w:t>
            </w:r>
          </w:p>
        </w:tc>
        <w:tc>
          <w:tcPr>
            <w:tcW w:type="dxa" w:w="3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Institutional net revenue retention</w:t>
            </w:r>
          </w:p>
        </w:tc>
        <w:tc>
          <w:tcPr>
            <w:tcW w:type="dxa" w:w="29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 110% year-over-year</w:t>
            </w:r>
          </w:p>
        </w:tc>
      </w:tr>
      <w:tr>
        <w:trPr>
          <w:cantSplit/>
        </w:trPr>
        <w:tc>
          <w:tcPr>
            <w:tcW w:type="dxa" w:w="26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Experience</w:t>
            </w:r>
          </w:p>
        </w:tc>
        <w:tc>
          <w:tcPr>
            <w:tcW w:type="dxa" w:w="34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Net Promoter Score (deaf user segment)</w:t>
            </w:r>
          </w:p>
        </w:tc>
        <w:tc>
          <w:tcPr>
            <w:tcW w:type="dxa" w:w="29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 50</w:t>
            </w:r>
          </w:p>
        </w:tc>
      </w:tr>
    </w:tbl>
    <w:p>
      <w:pPr>
        <w:pStyle w:val="Heading1"/>
        <w:pBdr>
          <w:bottom w:val="single" w:color="EF6A35" w:sz="12" w:space="6"/>
        </w:pBdr>
        <w:spacing w:after="200" w:before="480"/>
      </w:pPr>
      <w:r>
        <w:rPr>
          <w:rFonts w:ascii="Poppins" w:cs="Poppins" w:eastAsia="Poppins" w:hAnsi="Poppins"/>
          <w:b/>
          <w:bCs/>
          <w:color w:val="EF6A35"/>
        </w:rPr>
        <w:t xml:space="preserve">12  </w:t>
      </w:r>
      <w:r>
        <w:rPr>
          <w:rFonts w:ascii="Poppins" w:cs="Poppins" w:eastAsia="Poppins" w:hAnsi="Poppins"/>
          <w:b/>
          <w:bCs/>
          <w:color w:val="0B0F19"/>
          <w:sz w:val="30"/>
          <w:szCs w:val="30"/>
        </w:rPr>
        <w:t xml:space="preserve">Risks &amp; Mitigations</w:t>
      </w:r>
    </w:p>
    <w:tbl>
      <w:tblPr>
        <w:tblW w:type="dxa" w:w="9350"/>
        <w:tblBorders>
          <w:top w:val="single" w:color="D9DCE5" w:sz="4"/>
          <w:left w:val="single" w:color="D9DCE5" w:sz="4"/>
          <w:bottom w:val="single" w:color="D9DCE5" w:sz="4"/>
          <w:right w:val="single" w:color="D9DCE5" w:sz="4"/>
          <w:insideH w:val="single" w:color="D9DCE5" w:sz="4"/>
          <w:insideV w:val="single" w:color="D9DCE5" w:sz="4"/>
        </w:tblBorders>
      </w:tblPr>
      <w:tblGrid>
        <w:gridCol w:w="3300"/>
        <w:gridCol w:w="3300"/>
        <w:gridCol w:w="2750"/>
      </w:tblGrid>
      <w:tr>
        <w:trPr>
          <w:cantSplit/>
          <w:tblHeader/>
        </w:trPr>
        <w:tc>
          <w:tcPr>
            <w:tcW w:type="dxa" w:w="33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Risk</w:t>
            </w:r>
          </w:p>
        </w:tc>
        <w:tc>
          <w:tcPr>
            <w:tcW w:type="dxa" w:w="33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Impact</w:t>
            </w:r>
          </w:p>
        </w:tc>
        <w:tc>
          <w:tcPr>
            <w:tcW w:type="dxa" w:w="275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Mitigation</w:t>
            </w:r>
          </w:p>
        </w:tc>
      </w:tr>
      <w:tr>
        <w:trPr>
          <w:cantSplit/>
        </w:trPr>
        <w:tc>
          <w:tcPr>
            <w:tcW w:type="dxa" w:w="33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Regional sign-language/dialect variation reduces accuracy for some users.</w:t>
            </w:r>
          </w:p>
        </w:tc>
        <w:tc>
          <w:tcPr>
            <w:tcW w:type="dxa" w:w="33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Poor experience, lower trust for affected users.</w:t>
            </w:r>
          </w:p>
        </w:tc>
        <w:tc>
          <w:tcPr>
            <w:tcW w:type="dxa" w:w="27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Expandable, community-sourced training pipeline; transparent confidence indicator; continuous model updates.</w:t>
            </w:r>
          </w:p>
        </w:tc>
      </w:tr>
      <w:tr>
        <w:trPr>
          <w:cantSplit/>
        </w:trPr>
        <w:tc>
          <w:tcPr>
            <w:tcW w:type="dxa" w:w="33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Institutions hesitant to adopt due to perceived AI/privacy risk.</w:t>
            </w:r>
          </w:p>
        </w:tc>
        <w:tc>
          <w:tcPr>
            <w:tcW w:type="dxa" w:w="33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Slower institutional sales cycle.</w:t>
            </w:r>
          </w:p>
        </w:tc>
        <w:tc>
          <w:tcPr>
            <w:tcW w:type="dxa" w:w="27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Lead with the on-device privacy architecture in every pitch; provide a third-party-auditable data-flow diagram and SOC 2 roadmap.</w:t>
            </w:r>
          </w:p>
        </w:tc>
      </w:tr>
      <w:tr>
        <w:trPr>
          <w:cantSplit/>
        </w:trPr>
        <w:tc>
          <w:tcPr>
            <w:tcW w:type="dxa" w:w="33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Poor lighting/occlusion reduces keypoint-tracking quality.</w:t>
            </w:r>
          </w:p>
        </w:tc>
        <w:tc>
          <w:tcPr>
            <w:tcW w:type="dxa" w:w="33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Recognition errors in real-world settings.</w:t>
            </w:r>
          </w:p>
        </w:tc>
        <w:tc>
          <w:tcPr>
            <w:tcW w:type="dxa" w:w="27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MediaPipe's robust low-light handling; explicit low-confidence prompts rather than silent misrecognition.</w:t>
            </w:r>
          </w:p>
        </w:tc>
      </w:tr>
      <w:tr>
        <w:trPr>
          <w:cantSplit/>
        </w:trPr>
        <w:tc>
          <w:tcPr>
            <w:tcW w:type="dxa" w:w="33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On-device model size/performance constraints on low-end devices.</w:t>
            </w:r>
          </w:p>
        </w:tc>
        <w:tc>
          <w:tcPr>
            <w:tcW w:type="dxa" w:w="33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Excludes users with older hardware.</w:t>
            </w:r>
          </w:p>
        </w:tc>
        <w:tc>
          <w:tcPr>
            <w:tcW w:type="dxa" w:w="27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Tiered model sizes (lite/standard) with automatic device-capability detection.</w:t>
            </w:r>
          </w:p>
        </w:tc>
      </w:tr>
      <w:tr>
        <w:trPr>
          <w:cantSplit/>
        </w:trPr>
        <w:tc>
          <w:tcPr>
            <w:tcW w:type="dxa" w:w="33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Regulatory shifts in AI/accessibility law across regions.</w:t>
            </w:r>
          </w:p>
        </w:tc>
        <w:tc>
          <w:tcPr>
            <w:tcW w:type="dxa" w:w="33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Compliance rework, delayed launches.</w:t>
            </w:r>
          </w:p>
        </w:tc>
        <w:tc>
          <w:tcPr>
            <w:tcW w:type="dxa" w:w="27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Modular compliance layer per region; legal review built into the release checklist.</w:t>
            </w:r>
          </w:p>
        </w:tc>
      </w:tr>
    </w:tbl>
    <w:p>
      <w:pPr>
        <w:pStyle w:val="Heading1"/>
        <w:pBdr>
          <w:bottom w:val="single" w:color="EF6A35" w:sz="12" w:space="6"/>
        </w:pBdr>
        <w:spacing w:after="200" w:before="480"/>
      </w:pPr>
      <w:r>
        <w:rPr>
          <w:rFonts w:ascii="Poppins" w:cs="Poppins" w:eastAsia="Poppins" w:hAnsi="Poppins"/>
          <w:b/>
          <w:bCs/>
          <w:color w:val="EF6A35"/>
        </w:rPr>
        <w:t xml:space="preserve">13  </w:t>
      </w:r>
      <w:r>
        <w:rPr>
          <w:rFonts w:ascii="Poppins" w:cs="Poppins" w:eastAsia="Poppins" w:hAnsi="Poppins"/>
          <w:b/>
          <w:bCs/>
          <w:color w:val="0B0F19"/>
          <w:sz w:val="30"/>
          <w:szCs w:val="30"/>
        </w:rPr>
        <w:t xml:space="preserve">Assumptions &amp; Open Questions</w:t>
      </w:r>
    </w:p>
    <w:p>
      <w:pPr>
        <w:pStyle w:val="Heading2"/>
        <w:spacing w:after="140" w:before="320"/>
      </w:pPr>
      <w:r>
        <w:rPr>
          <w:rFonts w:ascii="Poppins" w:cs="Poppins" w:eastAsia="Poppins" w:hAnsi="Poppins"/>
          <w:b/>
          <w:bCs/>
          <w:color w:val="1A2138"/>
          <w:sz w:val="24"/>
          <w:szCs w:val="24"/>
        </w:rPr>
        <w:t xml:space="preserve">Assumptions</w:t>
      </w:r>
    </w:p>
    <w:p>
      <w:pPr>
        <w:pStyle w:val="ListParagraph"/>
        <w:numPr>
          <w:ilvl w:val="0"/>
          <w:numId w:val="2"/>
        </w:numPr>
        <w:spacing w:after="90" w:line="290"/>
      </w:pPr>
      <w:r>
        <w:rPr>
          <w:rFonts w:ascii="Calibri" w:cs="Calibri" w:eastAsia="Calibri" w:hAnsi="Calibri"/>
          <w:color w:val="26293B"/>
          <w:sz w:val="21"/>
          <w:szCs w:val="21"/>
        </w:rPr>
        <w:t xml:space="preserve">Users have access to a device with a working camera and a modern browser or the native app.</w:t>
      </w:r>
    </w:p>
    <w:p>
      <w:pPr>
        <w:pStyle w:val="ListParagraph"/>
        <w:numPr>
          <w:ilvl w:val="0"/>
          <w:numId w:val="2"/>
        </w:numPr>
        <w:spacing w:after="90" w:line="290"/>
      </w:pPr>
      <w:r>
        <w:rPr>
          <w:rFonts w:ascii="Calibri" w:cs="Calibri" w:eastAsia="Calibri" w:hAnsi="Calibri"/>
          <w:color w:val="26293B"/>
          <w:sz w:val="21"/>
          <w:szCs w:val="21"/>
        </w:rPr>
        <w:t xml:space="preserve">Initial launch vocabulary covers common healthcare, education, and public-service phrases before expanding to general conversation.</w:t>
      </w:r>
    </w:p>
    <w:p>
      <w:pPr>
        <w:pStyle w:val="ListParagraph"/>
        <w:numPr>
          <w:ilvl w:val="0"/>
          <w:numId w:val="2"/>
        </w:numPr>
        <w:spacing w:after="90" w:line="290"/>
      </w:pPr>
      <w:r>
        <w:rPr>
          <w:rFonts w:ascii="Calibri" w:cs="Calibri" w:eastAsia="Calibri" w:hAnsi="Calibri"/>
          <w:color w:val="26293B"/>
          <w:sz w:val="21"/>
          <w:szCs w:val="21"/>
        </w:rPr>
        <w:t xml:space="preserve">Institutional customers are willing to sign a data-processing agreement even though video itself is never transmitted.</w:t>
      </w:r>
    </w:p>
    <w:p>
      <w:pPr>
        <w:pStyle w:val="Heading2"/>
        <w:spacing w:after="140" w:before="320"/>
      </w:pPr>
      <w:r>
        <w:rPr>
          <w:rFonts w:ascii="Poppins" w:cs="Poppins" w:eastAsia="Poppins" w:hAnsi="Poppins"/>
          <w:b/>
          <w:bCs/>
          <w:color w:val="1A2138"/>
          <w:sz w:val="24"/>
          <w:szCs w:val="24"/>
        </w:rPr>
        <w:t xml:space="preserve">Open Questions</w:t>
      </w:r>
    </w:p>
    <w:p>
      <w:pPr>
        <w:pStyle w:val="ListParagraph"/>
        <w:numPr>
          <w:ilvl w:val="0"/>
          <w:numId w:val="2"/>
        </w:numPr>
        <w:spacing w:after="90" w:line="290"/>
      </w:pPr>
      <w:r>
        <w:rPr>
          <w:rFonts w:ascii="Calibri" w:cs="Calibri" w:eastAsia="Calibri" w:hAnsi="Calibri"/>
          <w:color w:val="26293B"/>
          <w:sz w:val="21"/>
          <w:szCs w:val="21"/>
        </w:rPr>
        <w:t xml:space="preserve">Which regional sign-language variants should be prioritized after ISL/ASL for Phase 3?</w:t>
      </w:r>
    </w:p>
    <w:p>
      <w:pPr>
        <w:pStyle w:val="ListParagraph"/>
        <w:numPr>
          <w:ilvl w:val="0"/>
          <w:numId w:val="2"/>
        </w:numPr>
        <w:spacing w:after="90" w:line="290"/>
      </w:pPr>
      <w:r>
        <w:rPr>
          <w:rFonts w:ascii="Calibri" w:cs="Calibri" w:eastAsia="Calibri" w:hAnsi="Calibri"/>
          <w:color w:val="26293B"/>
          <w:sz w:val="21"/>
          <w:szCs w:val="21"/>
        </w:rPr>
        <w:t xml:space="preserve">Should the optional model-improvement data-sharing program be opt-in per session or a one-time account-level setting?</w:t>
      </w:r>
    </w:p>
    <w:p>
      <w:pPr>
        <w:pStyle w:val="ListParagraph"/>
        <w:numPr>
          <w:ilvl w:val="0"/>
          <w:numId w:val="2"/>
        </w:numPr>
        <w:spacing w:after="90" w:line="290"/>
      </w:pPr>
      <w:r>
        <w:rPr>
          <w:rFonts w:ascii="Calibri" w:cs="Calibri" w:eastAsia="Calibri" w:hAnsi="Calibri"/>
          <w:color w:val="26293B"/>
          <w:sz w:val="21"/>
          <w:szCs w:val="21"/>
        </w:rPr>
        <w:t xml:space="preserve">What SLA tier is required for institutional customers in regulated healthcare environments?</w:t>
      </w:r>
    </w:p>
    <w:p>
      <w:pPr>
        <w:pStyle w:val="Heading1"/>
        <w:pBdr>
          <w:bottom w:val="single" w:color="EF6A35" w:sz="12" w:space="6"/>
        </w:pBdr>
        <w:spacing w:after="200" w:before="480"/>
      </w:pPr>
      <w:r>
        <w:rPr>
          <w:rFonts w:ascii="Poppins" w:cs="Poppins" w:eastAsia="Poppins" w:hAnsi="Poppins"/>
          <w:b/>
          <w:bCs/>
          <w:color w:val="EF6A35"/>
        </w:rPr>
        <w:t xml:space="preserve">14  </w:t>
      </w:r>
      <w:r>
        <w:rPr>
          <w:rFonts w:ascii="Poppins" w:cs="Poppins" w:eastAsia="Poppins" w:hAnsi="Poppins"/>
          <w:b/>
          <w:bCs/>
          <w:color w:val="0B0F19"/>
          <w:sz w:val="30"/>
          <w:szCs w:val="30"/>
        </w:rPr>
        <w:t xml:space="preserve">Appendix</w:t>
      </w:r>
    </w:p>
    <w:p>
      <w:pPr>
        <w:pStyle w:val="Heading2"/>
        <w:spacing w:after="140" w:before="320"/>
      </w:pPr>
      <w:r>
        <w:rPr>
          <w:rFonts w:ascii="Poppins" w:cs="Poppins" w:eastAsia="Poppins" w:hAnsi="Poppins"/>
          <w:b/>
          <w:bCs/>
          <w:color w:val="1A2138"/>
          <w:sz w:val="24"/>
          <w:szCs w:val="24"/>
        </w:rPr>
        <w:t xml:space="preserve">Glossary</w:t>
      </w:r>
    </w:p>
    <w:tbl>
      <w:tblPr>
        <w:tblW w:type="dxa" w:w="8950"/>
        <w:tblBorders>
          <w:top w:val="single" w:color="D9DCE5" w:sz="4"/>
          <w:left w:val="single" w:color="D9DCE5" w:sz="4"/>
          <w:bottom w:val="single" w:color="D9DCE5" w:sz="4"/>
          <w:right w:val="single" w:color="D9DCE5" w:sz="4"/>
          <w:insideH w:val="single" w:color="D9DCE5" w:sz="4"/>
          <w:insideV w:val="single" w:color="D9DCE5" w:sz="4"/>
        </w:tblBorders>
      </w:tblPr>
      <w:tblGrid>
        <w:gridCol w:w="2200"/>
        <w:gridCol w:w="6750"/>
      </w:tblGrid>
      <w:tr>
        <w:trPr>
          <w:cantSplit/>
          <w:tblHeader/>
        </w:trPr>
        <w:tc>
          <w:tcPr>
            <w:tcW w:type="dxa" w:w="220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Term</w:t>
            </w:r>
          </w:p>
        </w:tc>
        <w:tc>
          <w:tcPr>
            <w:tcW w:type="dxa" w:w="6750"/>
            <w:shd w:fill="0B0F19"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Definition</w:t>
            </w:r>
          </w:p>
        </w:tc>
      </w:tr>
      <w:tr>
        <w:trPr>
          <w:cantSplit/>
        </w:trPr>
        <w:tc>
          <w:tcPr>
            <w:tcW w:type="dxa" w:w="22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Keypoint</w:t>
            </w:r>
          </w:p>
        </w:tc>
        <w:tc>
          <w:tcPr>
            <w:tcW w:type="dxa" w:w="67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A single 3D coordinate representing a tracked landmark on the hand, face, or body.</w:t>
            </w:r>
          </w:p>
        </w:tc>
      </w:tr>
      <w:tr>
        <w:trPr>
          <w:cantSplit/>
        </w:trPr>
        <w:tc>
          <w:tcPr>
            <w:tcW w:type="dxa" w:w="22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LSTM</w:t>
            </w:r>
          </w:p>
        </w:tc>
        <w:tc>
          <w:tcPr>
            <w:tcW w:type="dxa" w:w="67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Long Short-Term Memory — a neural network architecture well suited to recognizing patterns in sequential/time-series data such as gestures.</w:t>
            </w:r>
          </w:p>
        </w:tc>
      </w:tr>
      <w:tr>
        <w:trPr>
          <w:cantSplit/>
        </w:trPr>
        <w:tc>
          <w:tcPr>
            <w:tcW w:type="dxa" w:w="22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On-device inference</w:t>
            </w:r>
          </w:p>
        </w:tc>
        <w:tc>
          <w:tcPr>
            <w:tcW w:type="dxa" w:w="67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Running the AI model directly on the user's hardware rather than sending data to a server.</w:t>
            </w:r>
          </w:p>
        </w:tc>
      </w:tr>
      <w:tr>
        <w:trPr>
          <w:cantSplit/>
        </w:trPr>
        <w:tc>
          <w:tcPr>
            <w:tcW w:type="dxa" w:w="22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TTS</w:t>
            </w:r>
          </w:p>
        </w:tc>
        <w:tc>
          <w:tcPr>
            <w:tcW w:type="dxa" w:w="67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Text-to-Speech — technology that converts written text into spoken audio.</w:t>
            </w:r>
          </w:p>
        </w:tc>
      </w:tr>
      <w:tr>
        <w:trPr>
          <w:cantSplit/>
        </w:trPr>
        <w:tc>
          <w:tcPr>
            <w:tcW w:type="dxa" w:w="220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RBAC</w:t>
            </w:r>
          </w:p>
        </w:tc>
        <w:tc>
          <w:tcPr>
            <w:tcW w:type="dxa" w:w="6750"/>
            <w:tcMar>
              <w:top w:type="dxa" w:w="100"/>
              <w:left w:type="dxa" w:w="140"/>
              <w:bottom w:type="dxa" w:w="100"/>
              <w:right w:type="dxa" w:w="140"/>
            </w:tcMar>
            <w:vAlign w:val="center"/>
          </w:tcPr>
          <w:p>
            <w:r>
              <w:rPr>
                <w:rFonts w:ascii="Calibri" w:cs="Calibri" w:eastAsia="Calibri" w:hAnsi="Calibri"/>
                <w:b w:val="false"/>
                <w:bCs w:val="false"/>
                <w:color w:val="26293B"/>
                <w:sz w:val="19"/>
                <w:szCs w:val="19"/>
              </w:rPr>
              <w:t xml:space="preserve">Role-Based Access Control — restricting system access based on a user's assigned role.</w:t>
            </w:r>
          </w:p>
        </w:tc>
      </w:tr>
    </w:tbl>
    <w:p>
      <w:pPr>
        <w:spacing w:after="160"/>
      </w:pPr>
    </w:p>
    <w:p>
      <w:pPr>
        <w:pStyle w:val="Heading2"/>
        <w:spacing w:after="140" w:before="320"/>
      </w:pPr>
      <w:r>
        <w:rPr>
          <w:rFonts w:ascii="Poppins" w:cs="Poppins" w:eastAsia="Poppins" w:hAnsi="Poppins"/>
          <w:b/>
          <w:bCs/>
          <w:color w:val="1A2138"/>
          <w:sz w:val="24"/>
          <w:szCs w:val="24"/>
        </w:rPr>
        <w:t xml:space="preserve">References</w:t>
      </w:r>
    </w:p>
    <w:p>
      <w:pPr>
        <w:pStyle w:val="ListParagraph"/>
        <w:numPr>
          <w:ilvl w:val="0"/>
          <w:numId w:val="2"/>
        </w:numPr>
        <w:spacing w:after="90" w:line="290"/>
      </w:pPr>
      <w:r>
        <w:rPr>
          <w:rFonts w:ascii="Calibri" w:cs="Calibri" w:eastAsia="Calibri" w:hAnsi="Calibri"/>
          <w:color w:val="26293B"/>
          <w:sz w:val="21"/>
          <w:szCs w:val="21"/>
        </w:rPr>
        <w:t xml:space="preserve">World Health Organization — Deafness and Hearing Loss Fact Sheet.</w:t>
      </w:r>
    </w:p>
    <w:p>
      <w:pPr>
        <w:pStyle w:val="ListParagraph"/>
        <w:numPr>
          <w:ilvl w:val="0"/>
          <w:numId w:val="2"/>
        </w:numPr>
        <w:spacing w:after="90" w:line="290"/>
      </w:pPr>
      <w:r>
        <w:rPr>
          <w:rFonts w:ascii="Calibri" w:cs="Calibri" w:eastAsia="Calibri" w:hAnsi="Calibri"/>
          <w:color w:val="26293B"/>
          <w:sz w:val="21"/>
          <w:szCs w:val="21"/>
        </w:rPr>
        <w:t xml:space="preserve">Google Research — MediaPipe: A Framework for Building Perception Pipelines.</w:t>
      </w:r>
    </w:p>
    <w:p>
      <w:pPr>
        <w:pStyle w:val="ListParagraph"/>
        <w:numPr>
          <w:ilvl w:val="0"/>
          <w:numId w:val="2"/>
        </w:numPr>
        <w:spacing w:after="90" w:line="290"/>
      </w:pPr>
      <w:r>
        <w:rPr>
          <w:rFonts w:ascii="Calibri" w:cs="Calibri" w:eastAsia="Calibri" w:hAnsi="Calibri"/>
          <w:color w:val="26293B"/>
          <w:sz w:val="21"/>
          <w:szCs w:val="21"/>
        </w:rPr>
        <w:t xml:space="preserve">Hochreiter &amp; Schmidhuber — Long Short-Term Memory, Neural Computation.</w:t>
      </w:r>
    </w:p>
    <w:p>
      <w:pPr>
        <w:pStyle w:val="ListParagraph"/>
        <w:numPr>
          <w:ilvl w:val="0"/>
          <w:numId w:val="2"/>
        </w:numPr>
        <w:spacing w:after="90" w:line="290"/>
      </w:pPr>
      <w:r>
        <w:rPr>
          <w:rFonts w:ascii="Calibri" w:cs="Calibri" w:eastAsia="Calibri" w:hAnsi="Calibri"/>
          <w:color w:val="26293B"/>
          <w:sz w:val="21"/>
          <w:szCs w:val="21"/>
        </w:rPr>
        <w:t xml:space="preserve">OWASP API Security Top 10 (owasp.org).</w:t>
      </w:r>
    </w:p>
    <w:p>
      <w:pPr>
        <w:pStyle w:val="ListParagraph"/>
        <w:numPr>
          <w:ilvl w:val="0"/>
          <w:numId w:val="2"/>
        </w:numPr>
        <w:spacing w:after="90" w:line="290"/>
      </w:pPr>
      <w:r>
        <w:rPr>
          <w:rFonts w:ascii="Calibri" w:cs="Calibri" w:eastAsia="Calibri" w:hAnsi="Calibri"/>
          <w:color w:val="26293B"/>
          <w:sz w:val="21"/>
          <w:szCs w:val="21"/>
        </w:rPr>
        <w:t xml:space="preserve">W3C Web Content Accessibility Guidelines (WCAG) 2.2.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06B"/>
        <w:sz w:val="16"/>
        <w:szCs w:val="16"/>
      </w:rPr>
      <w:t xml:space="preserve">Confidential — </w:t>
    </w:r>
    <w:r>
      <w:rPr>
        <w:color w:val="44506B"/>
        <w:sz w:val="16"/>
        <w:szCs w:val="16"/>
      </w:rPr>
      <w:t xml:space="preserve">Page </w:t>
    </w:r>
    <w:r>
      <w:rPr>
        <w:color w:val="44506B"/>
        <w:sz w:val="16"/>
        <w:szCs w:val="16"/>
      </w:rPr>
      <w:fldChar w:fldCharType="begin"/>
      <w:instrText xml:space="preserve">PAGE</w:instrText>
      <w:fldChar w:fldCharType="separate"/>
      <w:fldChar w:fldCharType="end"/>
    </w:r>
    <w:r>
      <w:rPr>
        <w:color w:val="44506B"/>
        <w:sz w:val="16"/>
        <w:szCs w:val="16"/>
      </w:rPr>
      <w:t xml:space="preserve"> of </w:t>
    </w:r>
    <w:r>
      <w:rPr>
        <w:color w:val="4450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5" w:sz="4" w:space="4"/>
      </w:pBdr>
      <w:jc w:val="right"/>
    </w:pPr>
    <w:r>
      <w:rPr>
        <w:i/>
        <w:iCs/>
        <w:color w:val="44506B"/>
        <w:sz w:val="16"/>
        <w:szCs w:val="16"/>
      </w:rPr>
      <w:t xml:space="preserve">SignBridge AI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44E1E"/>
      </w:r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2026-08-23T12:43:09.380Z</dcterms:created>
  <dcterms:modified xsi:type="dcterms:W3CDTF">2026-08-23T12:43:09.380Z</dcterms:modified>
</cp:coreProperties>
</file>

<file path=docProps/custom.xml><?xml version="1.0" encoding="utf-8"?>
<Properties xmlns="http://schemas.openxmlformats.org/officeDocument/2006/custom-properties" xmlns:vt="http://schemas.openxmlformats.org/officeDocument/2006/docPropsVTypes"/>
</file>