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p>
    <w:p>
      <w:pPr>
        <w:spacing w:after="120" w:before="0"/>
        <w:jc w:val="center"/>
      </w:pPr>
      <w:r>
        <w:rPr>
          <w:rFonts w:ascii="Arial" w:cs="Arial" w:eastAsia="Arial" w:hAnsi="Arial"/>
          <w:b/>
          <w:bCs/>
          <w:color w:val="1A1A2E"/>
          <w:sz w:val="48"/>
          <w:szCs w:val="48"/>
        </w:rPr>
        <w:t xml:space="preserve">IMC PROSPERITY 4</w:t>
      </w:r>
    </w:p>
    <w:p>
      <w:pPr>
        <w:spacing w:after="80" w:before="0"/>
        <w:jc w:val="center"/>
      </w:pPr>
      <w:r>
        <w:rPr>
          <w:rFonts w:ascii="Arial" w:cs="Arial" w:eastAsia="Arial" w:hAnsi="Arial"/>
          <w:color w:val="0F3460"/>
          <w:sz w:val="32"/>
          <w:szCs w:val="32"/>
        </w:rPr>
        <w:t xml:space="preserve">Round 5 Manual Challenge</w:t>
      </w:r>
    </w:p>
    <w:p>
      <w:pPr>
        <w:spacing w:after="80" w:before="0"/>
        <w:jc w:val="center"/>
      </w:pPr>
      <w:r>
        <w:rPr>
          <w:rFonts w:ascii="Arial" w:cs="Arial" w:eastAsia="Arial" w:hAnsi="Arial"/>
          <w:i/>
          <w:iCs/>
          <w:color w:val="444444"/>
          <w:sz w:val="28"/>
          <w:szCs w:val="28"/>
        </w:rPr>
        <w:t xml:space="preserve">Extra! Extra! Read All About It!</w:t>
      </w:r>
    </w:p>
    <w:p>
      <w:pPr>
        <w:pBdr>
          <w:bottom w:val="single" w:color="0F3460" w:sz="6" w:space="1"/>
        </w:pBdr>
        <w:spacing w:after="160" w:before="160"/>
      </w:pPr>
    </w:p>
    <w:p>
      <w:pPr>
        <w:spacing w:after="60" w:before="80"/>
        <w:jc w:val="center"/>
      </w:pPr>
      <w:r>
        <w:rPr>
          <w:rFonts w:ascii="Arial" w:cs="Arial" w:eastAsia="Arial" w:hAnsi="Arial"/>
          <w:color w:val="444444"/>
          <w:sz w:val="24"/>
          <w:szCs w:val="24"/>
        </w:rPr>
        <w:t xml:space="preserve">Complete Solution — Strategy, Optimization &amp; Final Submission</w:t>
      </w:r>
    </w:p>
    <w:p>
      <w:pPr>
        <w:spacing w:after="1440" w:before="60"/>
        <w:jc w:val="center"/>
      </w:pPr>
      <w:r>
        <w:rPr>
          <w:rFonts w:ascii="Arial" w:cs="Arial" w:eastAsia="Arial" w:hAnsi="Arial"/>
          <w:color w:val="888888"/>
          <w:sz w:val="22"/>
          <w:szCs w:val="22"/>
        </w:rPr>
        <w:t xml:space="preserve">April 2026</w:t>
      </w:r>
    </w:p>
    <w:p>
      <w:r>
        <w:br w:type="page"/>
      </w:r>
    </w:p>
    <w:p>
      <w:pPr>
        <w:pStyle w:val="Heading1"/>
        <w:spacing w:after="120" w:before="360"/>
      </w:pPr>
      <w:r>
        <w:rPr>
          <w:rFonts w:ascii="Arial" w:cs="Arial" w:eastAsia="Arial" w:hAnsi="Arial"/>
          <w:b/>
          <w:bCs/>
          <w:color w:val="1A1A2E"/>
          <w:sz w:val="32"/>
          <w:szCs w:val="32"/>
        </w:rPr>
        <w:t xml:space="preserve">1. Problem Statement</w:t>
      </w:r>
    </w:p>
    <w:p>
      <w:pPr>
        <w:spacing w:after="100" w:before="60"/>
      </w:pPr>
      <w:r>
        <w:rPr>
          <w:rFonts w:ascii="Arial" w:cs="Arial" w:eastAsia="Arial" w:hAnsi="Arial"/>
          <w:sz w:val="22"/>
          <w:szCs w:val="22"/>
        </w:rPr>
        <w:t xml:space="preserve">The Round 5 Manual Challenge, titled 'Extra! Extra! Read All About It!', is a one-day portfolio construction exercise on the fictional Ignith exchange. Participants are given exclusive access to Ashflow Alpha, the exchange's most trusted news source, and must build a portfolio to hold until the next day using that information.</w:t>
      </w:r>
    </w:p>
    <w:p>
      <w:pPr>
        <w:spacing w:after="100" w:before="60"/>
      </w:pPr>
      <w:r>
        <w:rPr>
          <w:rFonts w:ascii="Arial" w:cs="Arial" w:eastAsia="Arial" w:hAnsi="Arial"/>
          <w:sz w:val="22"/>
          <w:szCs w:val="22"/>
        </w:rPr>
        <w:t xml:space="preserve">The challenge introduces a quadratic fee structure that creates a fundamental tension between concentration (more alpha per trade) and diversification (lower fee drag). Understanding this fee curve is the central mathematical challenge of the problem.</w:t>
      </w:r>
    </w:p>
    <w:p>
      <w:pPr>
        <w:pStyle w:val="Heading3"/>
        <w:spacing w:after="80" w:before="200"/>
      </w:pPr>
      <w:r>
        <w:rPr>
          <w:rFonts w:ascii="Arial" w:cs="Arial" w:eastAsia="Arial" w:hAnsi="Arial"/>
          <w:b/>
          <w:bCs/>
          <w:color w:val="0F3460"/>
          <w:sz w:val="22"/>
          <w:szCs w:val="22"/>
        </w:rPr>
        <w:t xml:space="preserve">1.1 Budget and Fee Structure</w:t>
      </w:r>
    </w:p>
    <w:p>
      <w:pPr>
        <w:spacing w:after="100" w:before="60"/>
      </w:pPr>
      <w:r>
        <w:rPr>
          <w:rFonts w:ascii="Arial" w:cs="Arial" w:eastAsia="Arial" w:hAnsi="Arial"/>
          <w:b/>
          <w:bCs/>
          <w:sz w:val="22"/>
          <w:szCs w:val="22"/>
        </w:rPr>
        <w:t xml:space="preserve">Budget: </w:t>
      </w:r>
      <w:r>
        <w:rPr>
          <w:rFonts w:ascii="Arial" w:cs="Arial" w:eastAsia="Arial" w:hAnsi="Arial"/>
          <w:sz w:val="22"/>
          <w:szCs w:val="22"/>
        </w:rPr>
        <w:t xml:space="preserve">1,000,000 SeaShells</w:t>
      </w:r>
    </w:p>
    <w:p>
      <w:pPr>
        <w:spacing w:after="100" w:before="60"/>
      </w:pPr>
      <w:r>
        <w:rPr>
          <w:rFonts w:ascii="Arial" w:cs="Arial" w:eastAsia="Arial" w:hAnsi="Arial"/>
          <w:b/>
          <w:bCs/>
          <w:sz w:val="22"/>
          <w:szCs w:val="22"/>
        </w:rPr>
        <w:t xml:space="preserve">Fee formula: </w:t>
      </w:r>
      <w:r>
        <w:rPr>
          <w:rFonts w:ascii="Courier New" w:cs="Courier New" w:eastAsia="Courier New" w:hAnsi="Courier New"/>
          <w:sz w:val="20"/>
          <w:szCs w:val="20"/>
        </w:rPr>
        <w:t xml:space="preserve">fee = (V / 100)² × 1,000,000 = V² × 100</w:t>
      </w:r>
      <w:r>
        <w:rPr>
          <w:rFonts w:ascii="Arial" w:cs="Arial" w:eastAsia="Arial" w:hAnsi="Arial"/>
          <w:sz w:val="22"/>
          <w:szCs w:val="22"/>
        </w:rPr>
        <w:t xml:space="preserve">  where V is the percentage of budget allocated to a single product.</w:t>
      </w:r>
    </w:p>
    <w:p>
      <w:pPr>
        <w:spacing w:after="100" w:before="60"/>
      </w:pPr>
      <w:r>
        <w:rPr>
          <w:rFonts w:ascii="Arial" w:cs="Arial" w:eastAsia="Arial" w:hAnsi="Arial"/>
          <w:sz w:val="22"/>
          <w:szCs w:val="22"/>
        </w:rPr>
        <w:t xml:space="preserve">This quadratic structure means fees rise non-linearly with concentration. Allocating 20% to one asset costs four times as much as allocating 10% — not twice. This critically shapes the optimal portfolio construction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99"/>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Fee Examples</w:t>
            </w:r>
          </w:p>
        </w:tc>
      </w:tr>
      <w:tr>
        <w:tc>
          <w:tcPr>
            <w:tcW w:type="dxa" w:w="23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after="30" w:before="30"/>
              <w:jc w:val="left"/>
            </w:pPr>
            <w:r>
              <w:rPr>
                <w:rFonts w:ascii="Arial" w:cs="Arial" w:eastAsia="Arial" w:hAnsi="Arial"/>
                <w:b/>
                <w:bCs/>
                <w:color w:val="1A1A2E"/>
                <w:sz w:val="20"/>
                <w:szCs w:val="20"/>
              </w:rPr>
              <w:t xml:space="preserve">Allocation V</w:t>
            </w:r>
          </w:p>
        </w:tc>
        <w:tc>
          <w:tcPr>
            <w:tcW w:type="dxa" w:w="23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after="30" w:before="30"/>
              <w:jc w:val="left"/>
            </w:pPr>
            <w:r>
              <w:rPr>
                <w:rFonts w:ascii="Arial" w:cs="Arial" w:eastAsia="Arial" w:hAnsi="Arial"/>
                <w:b/>
                <w:bCs/>
                <w:color w:val="1A1A2E"/>
                <w:sz w:val="20"/>
                <w:szCs w:val="20"/>
              </w:rPr>
              <w:t xml:space="preserve">Capital Deployed</w:t>
            </w:r>
          </w:p>
        </w:tc>
        <w:tc>
          <w:tcPr>
            <w:tcW w:type="dxa" w:w="23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after="30" w:before="30"/>
              <w:jc w:val="left"/>
            </w:pPr>
            <w:r>
              <w:rPr>
                <w:rFonts w:ascii="Arial" w:cs="Arial" w:eastAsia="Arial" w:hAnsi="Arial"/>
                <w:b/>
                <w:bCs/>
                <w:color w:val="1A1A2E"/>
                <w:sz w:val="20"/>
                <w:szCs w:val="20"/>
              </w:rPr>
              <w:t xml:space="preserve">Fee Paid</w:t>
            </w:r>
          </w:p>
        </w:tc>
        <w:tc>
          <w:tcPr>
            <w:tcW w:type="dxa" w:w="23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after="30" w:before="30"/>
              <w:jc w:val="left"/>
            </w:pPr>
            <w:r>
              <w:rPr>
                <w:rFonts w:ascii="Arial" w:cs="Arial" w:eastAsia="Arial" w:hAnsi="Arial"/>
                <w:b/>
                <w:bCs/>
                <w:color w:val="1A1A2E"/>
                <w:sz w:val="20"/>
                <w:szCs w:val="20"/>
              </w:rPr>
              <w:t xml:space="preserve">Fee as % of Capital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$50,000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$2,500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$100,000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$10,000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10%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$150,000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$22,500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15%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$200,000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$40,000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20%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$250,000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$62,500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25%</w:t>
            </w:r>
          </w:p>
        </w:tc>
      </w:tr>
    </w:tbl>
    <w:p>
      <w:pPr>
        <w:spacing w:after="100" w:before="60"/>
      </w:pPr>
      <w:r>
        <w:rPr>
          <w:rFonts w:ascii="Arial" w:cs="Arial" w:eastAsia="Arial" w:hAnsi="Arial"/>
          <w:i/>
          <w:iCs/>
          <w:sz w:val="22"/>
          <w:szCs w:val="22"/>
        </w:rPr>
        <w:t xml:space="preserve">Key insight: fee as a percentage of capital equals V itself — so larger positions are proportionally more expensive, not just absolutely more expensive.</w:t>
      </w:r>
    </w:p>
    <w:p>
      <w:pPr>
        <w:pStyle w:val="Heading3"/>
        <w:spacing w:after="80" w:before="200"/>
      </w:pPr>
      <w:r>
        <w:rPr>
          <w:rFonts w:ascii="Arial" w:cs="Arial" w:eastAsia="Arial" w:hAnsi="Arial"/>
          <w:b/>
          <w:bCs/>
          <w:color w:val="0F3460"/>
          <w:sz w:val="22"/>
          <w:szCs w:val="22"/>
        </w:rPr>
        <w:t xml:space="preserve">1.2 Return Mechanics</w:t>
      </w:r>
    </w:p>
    <w:p>
      <w:pPr>
        <w:spacing w:after="100" w:before="60"/>
      </w:pPr>
      <w:r>
        <w:rPr>
          <w:rFonts w:ascii="Arial" w:cs="Arial" w:eastAsia="Arial" w:hAnsi="Arial"/>
          <w:sz w:val="22"/>
          <w:szCs w:val="22"/>
        </w:rPr>
        <w:t xml:space="preserve">The challenge uses an endogenous return model: participant submissions shift the actual return of each asset within a pre-set range anchored to an underlying expected value. This means:</w:t>
      </w:r>
    </w:p>
    <w:p>
      <w:pPr>
        <w:pStyle w:val="ListParagraph"/>
        <w:numPr>
          <w:ilvl w:val="0"/>
          <w:numId w:val="2"/>
        </w:numPr>
        <w:spacing w:after="40" w:before="40"/>
      </w:pPr>
      <w:r>
        <w:rPr>
          <w:rFonts w:ascii="Arial" w:cs="Arial" w:eastAsia="Arial" w:hAnsi="Arial"/>
          <w:sz w:val="22"/>
          <w:szCs w:val="22"/>
        </w:rPr>
        <w:t xml:space="preserve">If all participants buy an asset, the price rises more — but expected return per participant falls (crowd dilution).</w:t>
      </w:r>
    </w:p>
    <w:p>
      <w:pPr>
        <w:pStyle w:val="ListParagraph"/>
        <w:numPr>
          <w:ilvl w:val="0"/>
          <w:numId w:val="2"/>
        </w:numPr>
        <w:spacing w:after="40" w:before="40"/>
      </w:pPr>
      <w:r>
        <w:rPr>
          <w:rFonts w:ascii="Arial" w:cs="Arial" w:eastAsia="Arial" w:hAnsi="Arial"/>
          <w:sz w:val="22"/>
          <w:szCs w:val="22"/>
        </w:rPr>
        <w:t xml:space="preserve">Contrarian positions on less-obvious signals can generate outsized returns precisely because they are undercrowded.</w:t>
      </w:r>
    </w:p>
    <w:p>
      <w:pPr>
        <w:pStyle w:val="ListParagraph"/>
        <w:numPr>
          <w:ilvl w:val="0"/>
          <w:numId w:val="2"/>
        </w:numPr>
        <w:spacing w:after="40" w:before="40"/>
      </w:pPr>
      <w:r>
        <w:rPr>
          <w:rFonts w:ascii="Arial" w:cs="Arial" w:eastAsia="Arial" w:hAnsi="Arial"/>
          <w:sz w:val="22"/>
          <w:szCs w:val="22"/>
        </w:rPr>
        <w:t xml:space="preserve">The challenge is not just to identify the direction of news — it is to estimate how much alpha survives after crowd participation.</w:t>
      </w:r>
    </w:p>
    <w:p>
      <w:pPr>
        <w:spacing w:after="0" w:before="80"/>
      </w:pPr>
    </w:p>
    <w:p>
      <w:r>
        <w:br w:type="page"/>
      </w:r>
    </w:p>
    <w:p>
      <w:pPr>
        <w:pStyle w:val="Heading1"/>
        <w:spacing w:after="120" w:before="360"/>
      </w:pPr>
      <w:r>
        <w:rPr>
          <w:rFonts w:ascii="Arial" w:cs="Arial" w:eastAsia="Arial" w:hAnsi="Arial"/>
          <w:b/>
          <w:bCs/>
          <w:color w:val="1A1A2E"/>
          <w:sz w:val="32"/>
          <w:szCs w:val="32"/>
        </w:rPr>
        <w:t xml:space="preserve">2. Ashflow Alpha — Complete News Analysis</w:t>
      </w:r>
    </w:p>
    <w:p>
      <w:pPr>
        <w:spacing w:after="100" w:before="60"/>
      </w:pPr>
      <w:r>
        <w:rPr>
          <w:rFonts w:ascii="Arial" w:cs="Arial" w:eastAsia="Arial" w:hAnsi="Arial"/>
          <w:sz w:val="22"/>
          <w:szCs w:val="22"/>
        </w:rPr>
        <w:t xml:space="preserve">The Ashflow Alpha newsletter for this round contains nine distinct news items across three pages. We classify each by signal type, direction, conviction, and estimated crowd competition.</w:t>
      </w:r>
    </w:p>
    <w:p>
      <w:pPr>
        <w:pStyle w:val="Heading2"/>
        <w:spacing w:after="100" w:before="280"/>
      </w:pPr>
      <w:r>
        <w:rPr>
          <w:rFonts w:ascii="Arial" w:cs="Arial" w:eastAsia="Arial" w:hAnsi="Arial"/>
          <w:b/>
          <w:bCs/>
          <w:color w:val="16213E"/>
          <w:sz w:val="26"/>
          <w:szCs w:val="26"/>
        </w:rPr>
        <w:t xml:space="preserve">2.1 Tier 1 — Mechanical / Catastrophic Signals (Highest Conviction)</w:t>
      </w:r>
    </w:p>
    <w:p>
      <w:pPr>
        <w:pStyle w:val="Heading3"/>
        <w:spacing w:after="80" w:before="200"/>
      </w:pPr>
      <w:r>
        <w:rPr>
          <w:rFonts w:ascii="Arial" w:cs="Arial" w:eastAsia="Arial" w:hAnsi="Arial"/>
          <w:b/>
          <w:bCs/>
          <w:color w:val="0F3460"/>
          <w:sz w:val="22"/>
          <w:szCs w:val="22"/>
        </w:rPr>
        <w:t xml:space="preserve">Sulfur Reactor: Index Inclusion into Elemental Index 118</w:t>
      </w:r>
    </w:p>
    <w:p>
      <w:pPr>
        <w:spacing w:after="100" w:before="60"/>
      </w:pPr>
      <w:r>
        <w:rPr>
          <w:rFonts w:ascii="Arial" w:cs="Arial" w:eastAsia="Arial" w:hAnsi="Arial"/>
          <w:sz w:val="22"/>
          <w:szCs w:val="22"/>
        </w:rPr>
        <w:t xml:space="preserve">The index committee confirmed Sulfur Reactor's addition to Elemental Index 118 in an upcoming rebalance. Funds tracking this index must adjust holdings once the rebalance takes effect.</w:t>
      </w:r>
    </w:p>
    <w:p>
      <w:pPr>
        <w:spacing w:after="100" w:before="60"/>
      </w:pPr>
      <w:r>
        <w:rPr>
          <w:rFonts w:ascii="Arial" w:cs="Arial" w:eastAsia="Arial" w:hAnsi="Arial"/>
          <w:b/>
          <w:bCs/>
          <w:sz w:val="22"/>
          <w:szCs w:val="22"/>
        </w:rPr>
        <w:t xml:space="preserve">Signal type: </w:t>
      </w:r>
      <w:r>
        <w:rPr>
          <w:rFonts w:ascii="Arial" w:cs="Arial" w:eastAsia="Arial" w:hAnsi="Arial"/>
          <w:sz w:val="22"/>
          <w:szCs w:val="22"/>
        </w:rPr>
        <w:t xml:space="preserve">Mechanical forced flow. Passive funds have no discretion — they must buy Sulfur Reactor to track the index. This is not sentiment-based; it is a contractual obligation.</w:t>
      </w:r>
    </w:p>
    <w:p>
      <w:pPr>
        <w:spacing w:after="100" w:before="60"/>
      </w:pPr>
      <w:r>
        <w:rPr>
          <w:rFonts w:ascii="Arial" w:cs="Arial" w:eastAsia="Arial" w:hAnsi="Arial"/>
          <w:b/>
          <w:bCs/>
          <w:sz w:val="22"/>
          <w:szCs w:val="22"/>
        </w:rPr>
        <w:t xml:space="preserve">Direction: </w:t>
      </w:r>
      <w:r>
        <w:rPr>
          <w:rFonts w:ascii="Arial" w:cs="Arial" w:eastAsia="Arial" w:hAnsi="Arial"/>
          <w:b/>
          <w:bCs/>
          <w:color w:val="1B7340"/>
          <w:sz w:val="22"/>
          <w:szCs w:val="22"/>
        </w:rPr>
        <w:t xml:space="preserve">LONG</w:t>
      </w:r>
    </w:p>
    <w:p>
      <w:pPr>
        <w:spacing w:after="100" w:before="60"/>
      </w:pPr>
      <w:r>
        <w:rPr>
          <w:rFonts w:ascii="Arial" w:cs="Arial" w:eastAsia="Arial" w:hAnsi="Arial"/>
          <w:b/>
          <w:bCs/>
          <w:sz w:val="22"/>
          <w:szCs w:val="22"/>
        </w:rPr>
        <w:t xml:space="preserve">Why this is the highest quality signal: </w:t>
      </w:r>
      <w:r>
        <w:rPr>
          <w:rFonts w:ascii="Arial" w:cs="Arial" w:eastAsia="Arial" w:hAnsi="Arial"/>
          <w:sz w:val="22"/>
          <w:szCs w:val="22"/>
        </w:rPr>
        <w:t xml:space="preserve">Index inclusion alpha is the most reliable trade in finance because it does not depend on other participants agreeing with your analysis. The buying pressure is guaranteed regardless of what the crowd does.</w:t>
      </w:r>
    </w:p>
    <w:p>
      <w:pPr>
        <w:spacing w:after="100" w:before="60"/>
      </w:pPr>
      <w:r>
        <w:rPr>
          <w:rFonts w:ascii="Arial" w:cs="Arial" w:eastAsia="Arial" w:hAnsi="Arial"/>
          <w:b/>
          <w:bCs/>
          <w:sz w:val="22"/>
          <w:szCs w:val="22"/>
        </w:rPr>
        <w:t xml:space="preserve">Crowd competition: </w:t>
      </w:r>
      <w:r>
        <w:rPr>
          <w:rFonts w:ascii="Arial" w:cs="Arial" w:eastAsia="Arial" w:hAnsi="Arial"/>
          <w:sz w:val="22"/>
          <w:szCs w:val="22"/>
        </w:rPr>
        <w:t xml:space="preserve">Low. This is a dry technical announcement buried in the bottom of the newsletter. Less sophisticated participants will focus on the more dramatic headlines.</w:t>
      </w:r>
    </w:p>
    <w:p>
      <w:pPr>
        <w:pStyle w:val="Heading3"/>
        <w:spacing w:after="80" w:before="200"/>
      </w:pPr>
      <w:r>
        <w:rPr>
          <w:rFonts w:ascii="Arial" w:cs="Arial" w:eastAsia="Arial" w:hAnsi="Arial"/>
          <w:b/>
          <w:bCs/>
          <w:color w:val="0F3460"/>
          <w:sz w:val="22"/>
          <w:szCs w:val="22"/>
        </w:rPr>
        <w:t xml:space="preserve">Lava Cakes: Actual Lava Found — Health Authority Review</w:t>
      </w:r>
    </w:p>
    <w:p>
      <w:pPr>
        <w:spacing w:after="100" w:before="60"/>
      </w:pPr>
      <w:r>
        <w:rPr>
          <w:rFonts w:ascii="Arial" w:cs="Arial" w:eastAsia="Arial" w:hAnsi="Arial"/>
          <w:sz w:val="22"/>
          <w:szCs w:val="22"/>
        </w:rPr>
        <w:t xml:space="preserve">Laboratory tests confirmed actual lava in the popular Lava Cakes product. Health authorities launched a formal review, sales are suspended pending investigation, vendors are returning stock with lawyer letters attached, and civil lawsuits are being filed. Hot-shot Pastries Ltd. is cooperating with regulators.</w:t>
      </w:r>
    </w:p>
    <w:p>
      <w:pPr>
        <w:spacing w:after="100" w:before="60"/>
      </w:pPr>
      <w:r>
        <w:rPr>
          <w:rFonts w:ascii="Arial" w:cs="Arial" w:eastAsia="Arial" w:hAnsi="Arial"/>
          <w:b/>
          <w:bCs/>
          <w:sz w:val="22"/>
          <w:szCs w:val="22"/>
        </w:rPr>
        <w:t xml:space="preserve">Signal type: </w:t>
      </w:r>
      <w:r>
        <w:rPr>
          <w:rFonts w:ascii="Arial" w:cs="Arial" w:eastAsia="Arial" w:hAnsi="Arial"/>
          <w:sz w:val="22"/>
          <w:szCs w:val="22"/>
        </w:rPr>
        <w:t xml:space="preserve">Catastrophic product-level event. This is not a temporary PR problem — sales are physically suspended and legal action is active.</w:t>
      </w:r>
    </w:p>
    <w:p>
      <w:pPr>
        <w:spacing w:after="100" w:before="60"/>
      </w:pPr>
      <w:r>
        <w:rPr>
          <w:rFonts w:ascii="Arial" w:cs="Arial" w:eastAsia="Arial" w:hAnsi="Arial"/>
          <w:b/>
          <w:bCs/>
          <w:sz w:val="22"/>
          <w:szCs w:val="22"/>
        </w:rPr>
        <w:t xml:space="preserve">Direction: </w:t>
      </w:r>
      <w:r>
        <w:rPr>
          <w:rFonts w:ascii="Arial" w:cs="Arial" w:eastAsia="Arial" w:hAnsi="Arial"/>
          <w:b/>
          <w:bCs/>
          <w:color w:val="A32D2D"/>
          <w:sz w:val="22"/>
          <w:szCs w:val="22"/>
        </w:rPr>
        <w:t xml:space="preserve">SHORT</w:t>
      </w:r>
    </w:p>
    <w:p>
      <w:pPr>
        <w:spacing w:after="100" w:before="60"/>
      </w:pPr>
      <w:r>
        <w:rPr>
          <w:rFonts w:ascii="Arial" w:cs="Arial" w:eastAsia="Arial" w:hAnsi="Arial"/>
          <w:b/>
          <w:bCs/>
          <w:sz w:val="22"/>
          <w:szCs w:val="22"/>
        </w:rPr>
        <w:t xml:space="preserve">Critical distinction from Obsidian Cutlery: </w:t>
      </w:r>
      <w:r>
        <w:rPr>
          <w:rFonts w:ascii="Arial" w:cs="Arial" w:eastAsia="Arial" w:hAnsi="Arial"/>
          <w:sz w:val="22"/>
          <w:szCs w:val="22"/>
        </w:rPr>
        <w:t xml:space="preserve">The lava is IN the product being consumed. This creates demand collapse (nobody buys a food product with a health recall) plus supply destruction (vendors returning stock). Both demand and supply signals are bearish for the product's market price.</w:t>
      </w:r>
    </w:p>
    <w:p>
      <w:pPr>
        <w:pStyle w:val="Heading3"/>
        <w:spacing w:after="80" w:before="200"/>
      </w:pPr>
      <w:r>
        <w:rPr>
          <w:rFonts w:ascii="Arial" w:cs="Arial" w:eastAsia="Arial" w:hAnsi="Arial"/>
          <w:b/>
          <w:bCs/>
          <w:color w:val="0F3460"/>
          <w:sz w:val="22"/>
          <w:szCs w:val="22"/>
        </w:rPr>
        <w:t xml:space="preserve">Thermalite Cores: Surge in Smart Home Devices</w:t>
      </w:r>
    </w:p>
    <w:p>
      <w:pPr>
        <w:spacing w:after="100" w:before="60"/>
      </w:pPr>
      <w:r>
        <w:rPr>
          <w:rFonts w:ascii="Arial" w:cs="Arial" w:eastAsia="Arial" w:hAnsi="Arial"/>
          <w:sz w:val="22"/>
          <w:szCs w:val="22"/>
        </w:rPr>
        <w:t xml:space="preserve">The latest quarterly forecast shows active projected users rising from 1.42 million to 3.89 million next quarter (+174%). Net activity time rises from 16 to 42 minutes per day. Thermalite Cores are expected to reach an average net activity time of 42 minutes per day, indicating sustained household use.</w:t>
      </w:r>
    </w:p>
    <w:p>
      <w:pPr>
        <w:spacing w:after="100" w:before="60"/>
      </w:pPr>
      <w:r>
        <w:rPr>
          <w:rFonts w:ascii="Arial" w:cs="Arial" w:eastAsia="Arial" w:hAnsi="Arial"/>
          <w:b/>
          <w:bCs/>
          <w:sz w:val="22"/>
          <w:szCs w:val="22"/>
        </w:rPr>
        <w:t xml:space="preserve">Signal type: </w:t>
      </w:r>
      <w:r>
        <w:rPr>
          <w:rFonts w:ascii="Arial" w:cs="Arial" w:eastAsia="Arial" w:hAnsi="Arial"/>
          <w:sz w:val="22"/>
          <w:szCs w:val="22"/>
        </w:rPr>
        <w:t xml:space="preserve">Quantitative fundamental. Hard numbers from a quarterly forecast — not vague optimism.</w:t>
      </w:r>
    </w:p>
    <w:p>
      <w:pPr>
        <w:spacing w:after="100" w:before="60"/>
      </w:pPr>
      <w:r>
        <w:rPr>
          <w:rFonts w:ascii="Arial" w:cs="Arial" w:eastAsia="Arial" w:hAnsi="Arial"/>
          <w:b/>
          <w:bCs/>
          <w:sz w:val="22"/>
          <w:szCs w:val="22"/>
        </w:rPr>
        <w:t xml:space="preserve">Direction: </w:t>
      </w:r>
      <w:r>
        <w:rPr>
          <w:rFonts w:ascii="Arial" w:cs="Arial" w:eastAsia="Arial" w:hAnsi="Arial"/>
          <w:b/>
          <w:bCs/>
          <w:color w:val="1B7340"/>
          <w:sz w:val="22"/>
          <w:szCs w:val="22"/>
        </w:rPr>
        <w:t xml:space="preserve">LONG</w:t>
      </w:r>
    </w:p>
    <w:p>
      <w:pPr>
        <w:spacing w:after="100" w:before="60"/>
      </w:pPr>
      <w:r>
        <w:rPr>
          <w:rFonts w:ascii="Arial" w:cs="Arial" w:eastAsia="Arial" w:hAnsi="Arial"/>
          <w:b/>
          <w:bCs/>
          <w:sz w:val="22"/>
          <w:szCs w:val="22"/>
        </w:rPr>
        <w:t xml:space="preserve">Note: </w:t>
      </w:r>
      <w:r>
        <w:rPr>
          <w:rFonts w:ascii="Arial" w:cs="Arial" w:eastAsia="Arial" w:hAnsi="Arial"/>
          <w:sz w:val="22"/>
          <w:szCs w:val="22"/>
        </w:rPr>
        <w:t xml:space="preserve">This is an obvious trade and will be crowded. However, the magnitude of growth (174%) is large enough that even after crowd dilution, meaningful alpha remains.</w:t>
      </w:r>
    </w:p>
    <w:p>
      <w:pPr>
        <w:pStyle w:val="Heading2"/>
        <w:spacing w:after="100" w:before="280"/>
      </w:pPr>
      <w:r>
        <w:rPr>
          <w:rFonts w:ascii="Arial" w:cs="Arial" w:eastAsia="Arial" w:hAnsi="Arial"/>
          <w:b/>
          <w:bCs/>
          <w:color w:val="16213E"/>
          <w:sz w:val="26"/>
          <w:szCs w:val="26"/>
        </w:rPr>
        <w:t xml:space="preserve">2.2 Tier 2 — Fundamental Signals (Strong, Moderate Crowd)</w:t>
      </w:r>
    </w:p>
    <w:p>
      <w:pPr>
        <w:pStyle w:val="Heading3"/>
        <w:spacing w:after="80" w:before="200"/>
      </w:pPr>
      <w:r>
        <w:rPr>
          <w:rFonts w:ascii="Arial" w:cs="Arial" w:eastAsia="Arial" w:hAnsi="Arial"/>
          <w:b/>
          <w:bCs/>
          <w:color w:val="0F3460"/>
          <w:sz w:val="22"/>
          <w:szCs w:val="22"/>
        </w:rPr>
        <w:t xml:space="preserve">Obsidian Cutlery: Manufacturing Halt</w:t>
      </w:r>
    </w:p>
    <w:p>
      <w:pPr>
        <w:spacing w:after="100" w:before="60"/>
      </w:pPr>
      <w:r>
        <w:rPr>
          <w:rFonts w:ascii="Arial" w:cs="Arial" w:eastAsia="Arial" w:hAnsi="Arial"/>
          <w:sz w:val="22"/>
          <w:szCs w:val="22"/>
        </w:rPr>
        <w:t xml:space="preserve">A large-scale manufacturing facility suspended production after completed blades sliced through portions of the chemical assembly line. Level 1 contamination protocols triggered, temporary evacuation, factory analysts warn of implications for other facilities.</w:t>
      </w:r>
    </w:p>
    <w:p>
      <w:pPr>
        <w:spacing w:after="100" w:before="60"/>
      </w:pPr>
      <w:r>
        <w:rPr>
          <w:rFonts w:ascii="Arial" w:cs="Arial" w:eastAsia="Arial" w:hAnsi="Arial"/>
          <w:b/>
          <w:bCs/>
          <w:sz w:val="22"/>
          <w:szCs w:val="22"/>
        </w:rPr>
        <w:t xml:space="preserve">Direction: </w:t>
      </w:r>
      <w:r>
        <w:rPr>
          <w:rFonts w:ascii="Arial" w:cs="Arial" w:eastAsia="Arial" w:hAnsi="Arial"/>
          <w:b/>
          <w:bCs/>
          <w:color w:val="1B7340"/>
          <w:sz w:val="22"/>
          <w:szCs w:val="22"/>
        </w:rPr>
        <w:t xml:space="preserve">LONG (supply shock)</w:t>
      </w:r>
      <w:r>
        <w:rPr>
          <w:rFonts w:ascii="Arial" w:cs="Arial" w:eastAsia="Arial" w:hAnsi="Arial"/>
          <w:sz w:val="22"/>
          <w:szCs w:val="22"/>
        </w:rPr>
        <w:t xml:space="preserve"> — this was the most debated signal across all analysis iterations.</w:t>
      </w:r>
    </w:p>
    <w:p>
      <w:pPr>
        <w:spacing w:after="100" w:before="60"/>
      </w:pPr>
      <w:r>
        <w:rPr>
          <w:rFonts w:ascii="Arial" w:cs="Arial" w:eastAsia="Arial" w:hAnsi="Arial"/>
          <w:b/>
          <w:bCs/>
          <w:sz w:val="22"/>
          <w:szCs w:val="22"/>
        </w:rPr>
        <w:t xml:space="preserve">The critical distinction: </w:t>
      </w:r>
      <w:r>
        <w:rPr>
          <w:rFonts w:ascii="Arial" w:cs="Arial" w:eastAsia="Arial" w:hAnsi="Arial"/>
          <w:sz w:val="22"/>
          <w:szCs w:val="22"/>
        </w:rPr>
        <w:t xml:space="preserve">The article states 'completed blades sliced through the chemical assembly line.' The PRODUCT (finished blades/cutlery) is what caused damage to the FACTORY MACHINERY. This is a factory equipment failure, not a product contamination event.</w:t>
      </w:r>
    </w:p>
    <w:p>
      <w:pPr>
        <w:pStyle w:val="ListParagraph"/>
        <w:numPr>
          <w:ilvl w:val="0"/>
          <w:numId w:val="2"/>
        </w:numPr>
        <w:spacing w:after="40" w:before="40"/>
      </w:pPr>
      <w:r>
        <w:rPr>
          <w:rFonts w:ascii="Arial" w:cs="Arial" w:eastAsia="Arial" w:hAnsi="Arial"/>
          <w:sz w:val="22"/>
          <w:szCs w:val="22"/>
        </w:rPr>
        <w:t xml:space="preserve">Lava Cakes: lava is IN the product → product recall → demand collapse → SHORT</w:t>
      </w:r>
    </w:p>
    <w:p>
      <w:pPr>
        <w:pStyle w:val="ListParagraph"/>
        <w:numPr>
          <w:ilvl w:val="0"/>
          <w:numId w:val="2"/>
        </w:numPr>
        <w:spacing w:after="40" w:before="40"/>
      </w:pPr>
      <w:r>
        <w:rPr>
          <w:rFonts w:ascii="Arial" w:cs="Arial" w:eastAsia="Arial" w:hAnsi="Arial"/>
          <w:sz w:val="22"/>
          <w:szCs w:val="22"/>
        </w:rPr>
        <w:t xml:space="preserve">Obsidian Cutlery: factory machinery is broken → new supply destroyed → existing inventory scarcer → price rises → LONG</w:t>
      </w:r>
    </w:p>
    <w:p>
      <w:pPr>
        <w:spacing w:after="100" w:before="60"/>
      </w:pPr>
      <w:r>
        <w:rPr>
          <w:rFonts w:ascii="Arial" w:cs="Arial" w:eastAsia="Arial" w:hAnsi="Arial"/>
          <w:sz w:val="22"/>
          <w:szCs w:val="22"/>
        </w:rPr>
        <w:t xml:space="preserve">Existing Obsidian Cutlery in stores, warehouses, and consumer kitchens is unaffected. The 'Level 1 contamination' refers to the factory environment (chemical spill from the assembly line), not product contamination. A factory fire destroying production capacity is economically identical — and nobody would short the product in that scenario.</w:t>
      </w:r>
    </w:p>
    <w:p>
      <w:pPr>
        <w:pStyle w:val="Heading3"/>
        <w:spacing w:after="80" w:before="200"/>
      </w:pPr>
      <w:r>
        <w:rPr>
          <w:rFonts w:ascii="Arial" w:cs="Arial" w:eastAsia="Arial" w:hAnsi="Arial"/>
          <w:b/>
          <w:bCs/>
          <w:color w:val="0F3460"/>
          <w:sz w:val="22"/>
          <w:szCs w:val="22"/>
        </w:rPr>
        <w:t xml:space="preserve">Pyroflex Cells: Tax Cut Ending</w:t>
      </w:r>
    </w:p>
    <w:p>
      <w:pPr>
        <w:spacing w:after="100" w:before="60"/>
      </w:pPr>
      <w:r>
        <w:rPr>
          <w:rFonts w:ascii="Arial" w:cs="Arial" w:eastAsia="Arial" w:hAnsi="Arial"/>
          <w:sz w:val="22"/>
          <w:szCs w:val="22"/>
        </w:rPr>
        <w:t xml:space="preserve">The Ignith Tax Authority is ending the 50% Pyroflex Cell Tax Cut (PCTC) effective tomorrow. The cut was introduced to stimulate the Pyroflex transition. Its abrupt cancellation effectively doubles the current levy, disrupting consumer upgrade cycles and slowing new purchases.</w:t>
      </w:r>
    </w:p>
    <w:p>
      <w:pPr>
        <w:spacing w:after="100" w:before="60"/>
      </w:pPr>
      <w:r>
        <w:rPr>
          <w:rFonts w:ascii="Arial" w:cs="Arial" w:eastAsia="Arial" w:hAnsi="Arial"/>
          <w:b/>
          <w:bCs/>
          <w:sz w:val="22"/>
          <w:szCs w:val="22"/>
        </w:rPr>
        <w:t xml:space="preserve">Direction: </w:t>
      </w:r>
      <w:r>
        <w:rPr>
          <w:rFonts w:ascii="Arial" w:cs="Arial" w:eastAsia="Arial" w:hAnsi="Arial"/>
          <w:b/>
          <w:bCs/>
          <w:color w:val="A32D2D"/>
          <w:sz w:val="22"/>
          <w:szCs w:val="22"/>
        </w:rPr>
        <w:t xml:space="preserve">SHORT</w:t>
      </w:r>
    </w:p>
    <w:p>
      <w:pPr>
        <w:spacing w:after="100" w:before="60"/>
      </w:pPr>
      <w:r>
        <w:rPr>
          <w:rFonts w:ascii="Arial" w:cs="Arial" w:eastAsia="Arial" w:hAnsi="Arial"/>
          <w:sz w:val="22"/>
          <w:szCs w:val="22"/>
        </w:rPr>
        <w:t xml:space="preserve">This is a hard policy change — not sentiment. Prices for consumers will literally double overnight, guaranteeing demand destruction. The abruptness suggests incomplete market pricing.</w:t>
      </w:r>
    </w:p>
    <w:p>
      <w:pPr>
        <w:pStyle w:val="Heading3"/>
        <w:spacing w:after="80" w:before="200"/>
      </w:pPr>
      <w:r>
        <w:rPr>
          <w:rFonts w:ascii="Arial" w:cs="Arial" w:eastAsia="Arial" w:hAnsi="Arial"/>
          <w:b/>
          <w:bCs/>
          <w:color w:val="0F3460"/>
          <w:sz w:val="22"/>
          <w:szCs w:val="22"/>
        </w:rPr>
        <w:t xml:space="preserve">Lava Fountain Pen: Limited-Edition Launch</w:t>
      </w:r>
    </w:p>
    <w:p>
      <w:pPr>
        <w:spacing w:after="100" w:before="60"/>
      </w:pPr>
      <w:r>
        <w:rPr>
          <w:rFonts w:ascii="Arial" w:cs="Arial" w:eastAsia="Arial" w:hAnsi="Arial"/>
          <w:sz w:val="22"/>
          <w:szCs w:val="22"/>
        </w:rPr>
        <w:t xml:space="preserve">The first limited-edition Lava Fountain Pen (with built-in Magma Ink reservoir) sold yesterday at a 'hot drop' event. Crowds waited 6+ hours. This followed the merger between Stip Stationery Enterprises and Splatter Inc.</w:t>
      </w:r>
    </w:p>
    <w:p>
      <w:pPr>
        <w:spacing w:after="100" w:before="60"/>
      </w:pPr>
      <w:r>
        <w:rPr>
          <w:rFonts w:ascii="Arial" w:cs="Arial" w:eastAsia="Arial" w:hAnsi="Arial"/>
          <w:b/>
          <w:bCs/>
          <w:sz w:val="22"/>
          <w:szCs w:val="22"/>
        </w:rPr>
        <w:t xml:space="preserve">Direction: </w:t>
      </w:r>
      <w:r>
        <w:rPr>
          <w:rFonts w:ascii="Arial" w:cs="Arial" w:eastAsia="Arial" w:hAnsi="Arial"/>
          <w:b/>
          <w:bCs/>
          <w:color w:val="1B7340"/>
          <w:sz w:val="22"/>
          <w:szCs w:val="22"/>
        </w:rPr>
        <w:t xml:space="preserve">LONG (small position)</w:t>
      </w:r>
    </w:p>
    <w:p>
      <w:pPr>
        <w:spacing w:after="100" w:before="60"/>
      </w:pPr>
      <w:r>
        <w:rPr>
          <w:rFonts w:ascii="Arial" w:cs="Arial" w:eastAsia="Arial" w:hAnsi="Arial"/>
          <w:sz w:val="22"/>
          <w:szCs w:val="22"/>
        </w:rPr>
        <w:t xml:space="preserve">Genuine consumer demand is evident. However, this is the most obvious bullish story in the newsletter and will attract maximum crowd participation. Crowd dilution is severe. Position size is intentionally small.</w:t>
      </w:r>
    </w:p>
    <w:p>
      <w:pPr>
        <w:pStyle w:val="Heading2"/>
        <w:spacing w:after="100" w:before="280"/>
      </w:pPr>
      <w:r>
        <w:rPr>
          <w:rFonts w:ascii="Arial" w:cs="Arial" w:eastAsia="Arial" w:hAnsi="Arial"/>
          <w:b/>
          <w:bCs/>
          <w:color w:val="16213E"/>
          <w:sz w:val="26"/>
          <w:szCs w:val="26"/>
        </w:rPr>
        <w:t xml:space="preserve">2.3 Tier 3 — Narrative / Hype Signals (Skipped)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200"/>
        <w:gridCol w:w="3760"/>
      </w:tblGrid>
      <w:tr>
        <w:tc>
          <w:tcPr>
            <w:tcW w:type="dxa" w:w="9360"/>
            <w:gridSpan w:val="99"/>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Skipped Assets</w:t>
            </w:r>
          </w:p>
        </w:tc>
      </w:tr>
      <w:tr>
        <w:tc>
          <w:tcPr>
            <w:tcW w:type="dxa" w:w="2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after="30" w:before="30"/>
              <w:jc w:val="left"/>
            </w:pPr>
            <w:r>
              <w:rPr>
                <w:rFonts w:ascii="Arial" w:cs="Arial" w:eastAsia="Arial" w:hAnsi="Arial"/>
                <w:b/>
                <w:bCs/>
                <w:color w:val="1A1A2E"/>
                <w:sz w:val="20"/>
                <w:szCs w:val="20"/>
              </w:rPr>
              <w:t xml:space="preserve">Asset</w:t>
            </w:r>
          </w:p>
        </w:tc>
        <w:tc>
          <w:tcPr>
            <w:tcW w:type="dxa" w:w="1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after="30" w:before="30"/>
              <w:jc w:val="left"/>
            </w:pPr>
            <w:r>
              <w:rPr>
                <w:rFonts w:ascii="Arial" w:cs="Arial" w:eastAsia="Arial" w:hAnsi="Arial"/>
                <w:b/>
                <w:bCs/>
                <w:color w:val="1A1A2E"/>
                <w:sz w:val="20"/>
                <w:szCs w:val="20"/>
              </w:rPr>
              <w:t xml:space="preserve">Raw Signal</w:t>
            </w:r>
          </w:p>
        </w:tc>
        <w:tc>
          <w:tcPr>
            <w:tcW w:type="dxa" w:w="1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after="30" w:before="30"/>
              <w:jc w:val="left"/>
            </w:pPr>
            <w:r>
              <w:rPr>
                <w:rFonts w:ascii="Arial" w:cs="Arial" w:eastAsia="Arial" w:hAnsi="Arial"/>
                <w:b/>
                <w:bCs/>
                <w:color w:val="1A1A2E"/>
                <w:sz w:val="20"/>
                <w:szCs w:val="20"/>
              </w:rPr>
              <w:t xml:space="preserve">Adj Alpha</w:t>
            </w:r>
          </w:p>
        </w:tc>
        <w:tc>
          <w:tcPr>
            <w:tcW w:type="dxa" w:w="3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after="30" w:before="30"/>
              <w:jc w:val="left"/>
            </w:pPr>
            <w:r>
              <w:rPr>
                <w:rFonts w:ascii="Arial" w:cs="Arial" w:eastAsia="Arial" w:hAnsi="Arial"/>
                <w:b/>
                <w:bCs/>
                <w:color w:val="1A1A2E"/>
                <w:sz w:val="20"/>
                <w:szCs w:val="20"/>
              </w:rPr>
              <w:t xml:space="preserve">Reason Skipped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Magma Ink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5.0%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Derivative of Lava Pen story. After crowd discount, adj alpha barely clears fee threshold.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Ashes of the Phoenix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7.8%</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Reputational damage from viral sourcing video is real but moderate conviction. Adj alpha insufficient.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Scoria Paste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2.8%</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Influencer pump (Lava D. Ray on BrewTube). After crowd discount → near-zero adj alpha.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Volcanic Incense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Very 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1.3%</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Narrow-window coordinated buying = pump pattern. Return anchor unknown. Skip entirely.</w:t>
            </w:r>
          </w:p>
        </w:tc>
      </w:tr>
    </w:tbl>
    <w:p>
      <w:pPr>
        <w:spacing w:after="0" w:before="120"/>
      </w:pPr>
    </w:p>
    <w:p>
      <w:r>
        <w:br w:type="page"/>
      </w:r>
    </w:p>
    <w:p>
      <w:pPr>
        <w:pStyle w:val="Heading1"/>
        <w:spacing w:after="120" w:before="360"/>
      </w:pPr>
      <w:r>
        <w:rPr>
          <w:rFonts w:ascii="Arial" w:cs="Arial" w:eastAsia="Arial" w:hAnsi="Arial"/>
          <w:b/>
          <w:bCs/>
          <w:color w:val="1A1A2E"/>
          <w:sz w:val="32"/>
          <w:szCs w:val="32"/>
        </w:rPr>
        <w:t xml:space="preserve">3. Approach Evolution — From V1 to Final</w:t>
      </w:r>
    </w:p>
    <w:p>
      <w:pPr>
        <w:pStyle w:val="Heading2"/>
        <w:spacing w:after="100" w:before="280"/>
      </w:pPr>
      <w:r>
        <w:rPr>
          <w:rFonts w:ascii="Arial" w:cs="Arial" w:eastAsia="Arial" w:hAnsi="Arial"/>
          <w:b/>
          <w:bCs/>
          <w:color w:val="16213E"/>
          <w:sz w:val="26"/>
          <w:szCs w:val="26"/>
        </w:rPr>
        <w:t xml:space="preserve">3.1 Version 1: Heuristic Portfolio (Initial Attempt)</w:t>
      </w:r>
    </w:p>
    <w:p>
      <w:pPr>
        <w:spacing w:after="100" w:before="60"/>
      </w:pPr>
      <w:r>
        <w:rPr>
          <w:rFonts w:ascii="Arial" w:cs="Arial" w:eastAsia="Arial" w:hAnsi="Arial"/>
          <w:sz w:val="22"/>
          <w:szCs w:val="22"/>
        </w:rPr>
        <w:t xml:space="preserve">The first approach used discretionary sizing — assigning round percentage numbers (14%, 16%, etc.) to assets based on qualitative conviction assessment, then stopping when fees 'felt' too steep.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120"/>
      </w:tblGrid>
      <w:tr>
        <w:tc>
          <w:tcPr>
            <w:tcW w:type="dxa" w:w="9360"/>
            <w:gridSpan w:val="99"/>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V1 Portfolio Summary</w:t>
            </w:r>
          </w:p>
        </w:tc>
      </w:tr>
      <w:tr>
        <w:tc>
          <w:tcPr>
            <w:tcW w:type="dxa" w:w="31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after="30" w:before="30"/>
              <w:jc w:val="left"/>
            </w:pPr>
            <w:r>
              <w:rPr>
                <w:rFonts w:ascii="Arial" w:cs="Arial" w:eastAsia="Arial" w:hAnsi="Arial"/>
                <w:b/>
                <w:bCs/>
                <w:color w:val="1A1A2E"/>
                <w:sz w:val="20"/>
                <w:szCs w:val="20"/>
              </w:rPr>
              <w:t xml:space="preserve">Asset</w:t>
            </w:r>
          </w:p>
        </w:tc>
        <w:tc>
          <w:tcPr>
            <w:tcW w:type="dxa" w:w="15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after="30" w:before="30"/>
              <w:jc w:val="left"/>
            </w:pPr>
            <w:r>
              <w:rPr>
                <w:rFonts w:ascii="Arial" w:cs="Arial" w:eastAsia="Arial" w:hAnsi="Arial"/>
                <w:b/>
                <w:bCs/>
                <w:color w:val="1A1A2E"/>
                <w:sz w:val="20"/>
                <w:szCs w:val="20"/>
              </w:rPr>
              <w:t xml:space="preserve">Direction</w:t>
            </w:r>
          </w:p>
        </w:tc>
        <w:tc>
          <w:tcPr>
            <w:tcW w:type="dxa" w:w="15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after="30" w:before="30"/>
              <w:jc w:val="left"/>
            </w:pPr>
            <w:r>
              <w:rPr>
                <w:rFonts w:ascii="Arial" w:cs="Arial" w:eastAsia="Arial" w:hAnsi="Arial"/>
                <w:b/>
                <w:bCs/>
                <w:color w:val="1A1A2E"/>
                <w:sz w:val="20"/>
                <w:szCs w:val="20"/>
              </w:rPr>
              <w:t xml:space="preserve">Allocation</w:t>
            </w:r>
          </w:p>
        </w:tc>
        <w:tc>
          <w:tcPr>
            <w:tcW w:type="dxa" w:w="31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after="30" w:before="30"/>
              <w:jc w:val="left"/>
            </w:pPr>
            <w:r>
              <w:rPr>
                <w:rFonts w:ascii="Arial" w:cs="Arial" w:eastAsia="Arial" w:hAnsi="Arial"/>
                <w:b/>
                <w:bCs/>
                <w:color w:val="1A1A2E"/>
                <w:sz w:val="20"/>
                <w:szCs w:val="20"/>
              </w:rPr>
              <w:t xml:space="preserve">Key Error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Thermalite Cores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LONG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16%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Largest position, reasonable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Lava Fountain Pen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LONG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14%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Overcrowded — too large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Sulfur Reactor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LONG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15%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Correct but undersized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Magma Ink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LONG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Should be skipped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Lava Cakes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SHORT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14%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Reasonable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Obsidian Cutlery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SHORT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12%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WRONG DIRECTION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Ashes of Phoenix</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SHORT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Insufficient adj alpha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Pyroflex Cells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SHORT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Reasonable but too small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TOTAL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89%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Arbitrary stopping point</w:t>
            </w:r>
          </w:p>
        </w:tc>
      </w:tr>
    </w:tbl>
    <w:p>
      <w:pPr>
        <w:spacing w:after="100" w:before="60"/>
      </w:pPr>
      <w:r>
        <w:rPr>
          <w:rFonts w:ascii="Arial" w:cs="Arial" w:eastAsia="Arial" w:hAnsi="Arial"/>
          <w:b/>
          <w:bCs/>
          <w:sz w:val="22"/>
          <w:szCs w:val="22"/>
        </w:rPr>
        <w:t xml:space="preserve">Key flaws in V1:</w:t>
      </w:r>
    </w:p>
    <w:p>
      <w:pPr>
        <w:pStyle w:val="ListParagraph"/>
        <w:numPr>
          <w:ilvl w:val="0"/>
          <w:numId w:val="2"/>
        </w:numPr>
        <w:spacing w:after="40" w:before="40"/>
      </w:pPr>
      <w:r>
        <w:rPr>
          <w:rFonts w:ascii="Arial" w:cs="Arial" w:eastAsia="Arial" w:hAnsi="Arial"/>
          <w:sz w:val="22"/>
          <w:szCs w:val="22"/>
        </w:rPr>
        <w:t xml:space="preserve">Arbitrary percentage assignment with no mathematical basis</w:t>
      </w:r>
    </w:p>
    <w:p>
      <w:pPr>
        <w:pStyle w:val="ListParagraph"/>
        <w:numPr>
          <w:ilvl w:val="0"/>
          <w:numId w:val="2"/>
        </w:numPr>
        <w:spacing w:after="40" w:before="40"/>
      </w:pPr>
      <w:r>
        <w:rPr>
          <w:rFonts w:ascii="Arial" w:cs="Arial" w:eastAsia="Arial" w:hAnsi="Arial"/>
          <w:sz w:val="22"/>
          <w:szCs w:val="22"/>
        </w:rPr>
        <w:t xml:space="preserve">Obsidian Cutlery shorted — fundamental direction error (supply shock should be long)</w:t>
      </w:r>
    </w:p>
    <w:p>
      <w:pPr>
        <w:pStyle w:val="ListParagraph"/>
        <w:numPr>
          <w:ilvl w:val="0"/>
          <w:numId w:val="2"/>
        </w:numPr>
        <w:spacing w:after="40" w:before="40"/>
      </w:pPr>
      <w:r>
        <w:rPr>
          <w:rFonts w:ascii="Arial" w:cs="Arial" w:eastAsia="Arial" w:hAnsi="Arial"/>
          <w:sz w:val="22"/>
          <w:szCs w:val="22"/>
        </w:rPr>
        <w:t xml:space="preserve">89% total allocation chosen by gut feel, not optimization</w:t>
      </w:r>
    </w:p>
    <w:p>
      <w:pPr>
        <w:pStyle w:val="ListParagraph"/>
        <w:numPr>
          <w:ilvl w:val="0"/>
          <w:numId w:val="2"/>
        </w:numPr>
        <w:spacing w:after="40" w:before="40"/>
      </w:pPr>
      <w:r>
        <w:rPr>
          <w:rFonts w:ascii="Arial" w:cs="Arial" w:eastAsia="Arial" w:hAnsi="Arial"/>
          <w:sz w:val="22"/>
          <w:szCs w:val="22"/>
        </w:rPr>
        <w:t xml:space="preserve">Weak signals (Magma Ink, Ashes) included despite thin adj alpha</w:t>
      </w:r>
    </w:p>
    <w:p>
      <w:pPr>
        <w:pStyle w:val="ListParagraph"/>
        <w:numPr>
          <w:ilvl w:val="0"/>
          <w:numId w:val="2"/>
        </w:numPr>
        <w:spacing w:after="40" w:before="40"/>
      </w:pPr>
      <w:r>
        <w:rPr>
          <w:rFonts w:ascii="Arial" w:cs="Arial" w:eastAsia="Arial" w:hAnsi="Arial"/>
          <w:sz w:val="22"/>
          <w:szCs w:val="22"/>
        </w:rPr>
        <w:t xml:space="preserve">No crowd adjustment applied to position sizing</w:t>
      </w:r>
    </w:p>
    <w:p>
      <w:pPr>
        <w:pStyle w:val="Heading2"/>
        <w:spacing w:after="100" w:before="280"/>
      </w:pPr>
      <w:r>
        <w:rPr>
          <w:rFonts w:ascii="Arial" w:cs="Arial" w:eastAsia="Arial" w:hAnsi="Arial"/>
          <w:b/>
          <w:bCs/>
          <w:color w:val="16213E"/>
          <w:sz w:val="26"/>
          <w:szCs w:val="26"/>
        </w:rPr>
        <w:t xml:space="preserve">3.2 Critique Round 1: The Lagrangian Framework</w:t>
      </w:r>
    </w:p>
    <w:p>
      <w:pPr>
        <w:spacing w:after="100" w:before="60"/>
      </w:pPr>
      <w:r>
        <w:rPr>
          <w:rFonts w:ascii="Arial" w:cs="Arial" w:eastAsia="Arial" w:hAnsi="Arial"/>
          <w:sz w:val="22"/>
          <w:szCs w:val="22"/>
        </w:rPr>
        <w:t xml:space="preserve">External critique correctly identified two issues: (1) sizing must be derived mathematically from the fee-return tradeoff, not assigned discretionarily; (2) the direction on Obsidian Cutlery was wrong.</w:t>
      </w:r>
    </w:p>
    <w:p>
      <w:pPr>
        <w:spacing w:after="100" w:before="60"/>
      </w:pPr>
      <w:r>
        <w:rPr>
          <w:rFonts w:ascii="Arial" w:cs="Arial" w:eastAsia="Arial" w:hAnsi="Arial"/>
          <w:sz w:val="22"/>
          <w:szCs w:val="22"/>
        </w:rPr>
        <w:t xml:space="preserve">The correct optimization framework was established:</w:t>
      </w:r>
    </w:p>
    <w:p>
      <w:pPr>
        <w:spacing w:after="100" w:before="60"/>
      </w:pPr>
      <w:r>
        <w:rPr>
          <w:rFonts w:ascii="Courier New" w:cs="Courier New" w:eastAsia="Courier New" w:hAnsi="Courier New"/>
          <w:sz w:val="20"/>
          <w:szCs w:val="20"/>
        </w:rPr>
        <w:t xml:space="preserve">Maximize: Σ(μᵢ × Vᵢ × 10,000) − Σ(Vᵢ² × 100)</w:t>
      </w:r>
    </w:p>
    <w:p>
      <w:pPr>
        <w:spacing w:after="100" w:before="60"/>
      </w:pPr>
      <w:r>
        <w:rPr>
          <w:rFonts w:ascii="Courier New" w:cs="Courier New" w:eastAsia="Courier New" w:hAnsi="Courier New"/>
          <w:sz w:val="20"/>
          <w:szCs w:val="20"/>
        </w:rPr>
        <w:t xml:space="preserve">FOC: 10,000μᵢ − 200Vᵢ = 0  →  V*ᵢ = 50μᵢ</w:t>
      </w:r>
    </w:p>
    <w:p>
      <w:pPr>
        <w:spacing w:after="100" w:before="60"/>
      </w:pPr>
      <w:r>
        <w:rPr>
          <w:rFonts w:ascii="Arial" w:cs="Arial" w:eastAsia="Arial" w:hAnsi="Arial"/>
          <w:sz w:val="22"/>
          <w:szCs w:val="22"/>
        </w:rPr>
        <w:t xml:space="preserve">This means optimal allocation to each asset is strictly proportional to its expected return. If a signal has adj return of 20%, optimal V = 10%. If two signals both have 20% adj return, they should receive equal allocation — not different round numbers.</w:t>
      </w:r>
    </w:p>
    <w:p>
      <w:pPr>
        <w:pStyle w:val="Heading2"/>
        <w:spacing w:after="100" w:before="280"/>
      </w:pPr>
      <w:r>
        <w:rPr>
          <w:rFonts w:ascii="Arial" w:cs="Arial" w:eastAsia="Arial" w:hAnsi="Arial"/>
          <w:b/>
          <w:bCs/>
          <w:color w:val="16213E"/>
          <w:sz w:val="26"/>
          <w:szCs w:val="26"/>
        </w:rPr>
        <w:t xml:space="preserve">3.3 Version 2: Lagrangian Applied (But Conservative μ)</w:t>
      </w:r>
    </w:p>
    <w:p>
      <w:pPr>
        <w:spacing w:after="100" w:before="60"/>
      </w:pPr>
      <w:r>
        <w:rPr>
          <w:rFonts w:ascii="Arial" w:cs="Arial" w:eastAsia="Arial" w:hAnsi="Arial"/>
          <w:sz w:val="22"/>
          <w:szCs w:val="22"/>
        </w:rPr>
        <w:t xml:space="preserve">V2 adopted the mathematical framework and improved signal selectivity — dropping weak signals and promoting Sulfur Reactor to the largest position. However, it used overly conservative μᵢ estimates (~8-15%), resulting in a total allocation of only 35.5% with a non-binding budget constraint.</w:t>
      </w:r>
    </w:p>
    <w:p>
      <w:pPr>
        <w:spacing w:after="100" w:before="60"/>
      </w:pPr>
      <w:r>
        <w:rPr>
          <w:rFonts w:ascii="Arial" w:cs="Arial" w:eastAsia="Arial" w:hAnsi="Arial"/>
          <w:sz w:val="22"/>
          <w:szCs w:val="22"/>
        </w:rPr>
        <w:t xml:space="preserve">V2 also over-corrected on Obsidian Cutlery — recognizing the ambiguity, it removed the asset entirely rather than resolving the direction correctly.</w:t>
      </w:r>
    </w:p>
    <w:p>
      <w:pPr>
        <w:pStyle w:val="Heading2"/>
        <w:spacing w:after="100" w:before="280"/>
      </w:pPr>
      <w:r>
        <w:rPr>
          <w:rFonts w:ascii="Arial" w:cs="Arial" w:eastAsia="Arial" w:hAnsi="Arial"/>
          <w:b/>
          <w:bCs/>
          <w:color w:val="16213E"/>
          <w:sz w:val="26"/>
          <w:szCs w:val="26"/>
        </w:rPr>
        <w:t xml:space="preserve">3.4 Critique Round 2: Unit Debate and Direction Resolution</w:t>
      </w:r>
    </w:p>
    <w:p>
      <w:pPr>
        <w:spacing w:after="100" w:before="60"/>
      </w:pPr>
      <w:r>
        <w:rPr>
          <w:rFonts w:ascii="Arial" w:cs="Arial" w:eastAsia="Arial" w:hAnsi="Arial"/>
          <w:sz w:val="22"/>
          <w:szCs w:val="22"/>
        </w:rPr>
        <w:t xml:space="preserve">Two competing critiques emerged:</w:t>
      </w:r>
    </w:p>
    <w:p>
      <w:pPr>
        <w:pStyle w:val="ListParagraph"/>
        <w:numPr>
          <w:ilvl w:val="0"/>
          <w:numId w:val="2"/>
        </w:numPr>
        <w:spacing w:after="40" w:before="40"/>
      </w:pPr>
      <w:r>
        <w:rPr>
          <w:rFonts w:ascii="Arial" w:cs="Arial" w:eastAsia="Arial" w:hAnsi="Arial"/>
          <w:b/>
          <w:bCs/>
          <w:sz w:val="22"/>
          <w:szCs w:val="22"/>
        </w:rPr>
        <w:t xml:space="preserve">Gemini critique: </w:t>
      </w:r>
      <w:r>
        <w:rPr>
          <w:rFonts w:ascii="Arial" w:cs="Arial" w:eastAsia="Arial" w:hAnsi="Arial"/>
          <w:sz w:val="22"/>
          <w:szCs w:val="22"/>
        </w:rPr>
        <w:t xml:space="preserve">Argued that μᵢ should be absolute SeaShell price changes, not fractional returns, implying V*ᵢ = 5000 × ΔP and the budget constraint always binds at 100%. Also correctly argued Obsidian Cutlery is a supply shock → Long.</w:t>
      </w:r>
    </w:p>
    <w:p>
      <w:pPr>
        <w:pStyle w:val="ListParagraph"/>
        <w:numPr>
          <w:ilvl w:val="0"/>
          <w:numId w:val="2"/>
        </w:numPr>
        <w:spacing w:after="40" w:before="40"/>
      </w:pPr>
      <w:r>
        <w:rPr>
          <w:rFonts w:ascii="Arial" w:cs="Arial" w:eastAsia="Arial" w:hAnsi="Arial"/>
          <w:b/>
          <w:bCs/>
          <w:sz w:val="22"/>
          <w:szCs w:val="22"/>
        </w:rPr>
        <w:t xml:space="preserve">GPT critique: </w:t>
      </w:r>
      <w:r>
        <w:rPr>
          <w:rFonts w:ascii="Arial" w:cs="Arial" w:eastAsia="Arial" w:hAnsi="Arial"/>
          <w:sz w:val="22"/>
          <w:szCs w:val="22"/>
        </w:rPr>
        <w:t xml:space="preserve">Argued V2 was strong but 35% total was still slightly underallocated and Sulfur Reactor deserved even more weight.</w:t>
      </w:r>
    </w:p>
    <w:p>
      <w:pPr>
        <w:spacing w:after="100" w:before="60"/>
      </w:pPr>
      <w:r>
        <w:rPr>
          <w:rFonts w:ascii="Arial" w:cs="Arial" w:eastAsia="Arial" w:hAnsi="Arial"/>
          <w:b/>
          <w:bCs/>
          <w:sz w:val="22"/>
          <w:szCs w:val="22"/>
        </w:rPr>
        <w:t xml:space="preserve">Resolution of the unit debate: </w:t>
      </w:r>
      <w:r>
        <w:rPr>
          <w:rFonts w:ascii="Arial" w:cs="Arial" w:eastAsia="Arial" w:hAnsi="Arial"/>
          <w:sz w:val="22"/>
          <w:szCs w:val="22"/>
        </w:rPr>
        <w:t xml:space="preserve">The fee formula explicitly defines V as a budget percentage — fee = (V/100)² × 1,000,000. This makes μᵢ as fractional return the correct unit. Gemini's absolute-SeaShell formulation describes a different problem. However, Gemini's practical conclusion (budget constraint likely binds with realistic news-event returns) is validated when realistic μᵢ values of 20-30% are used, causing unconstrained sum &gt; 100% and triggering Lagrange scaling.</w:t>
      </w:r>
    </w:p>
    <w:p>
      <w:pPr>
        <w:spacing w:after="100" w:before="60"/>
      </w:pPr>
      <w:r>
        <w:rPr>
          <w:rFonts w:ascii="Arial" w:cs="Arial" w:eastAsia="Arial" w:hAnsi="Arial"/>
          <w:b/>
          <w:bCs/>
          <w:sz w:val="22"/>
          <w:szCs w:val="22"/>
        </w:rPr>
        <w:t xml:space="preserve">Resolution of Obsidian direction: </w:t>
      </w:r>
      <w:r>
        <w:rPr>
          <w:rFonts w:ascii="Arial" w:cs="Arial" w:eastAsia="Arial" w:hAnsi="Arial"/>
          <w:sz w:val="22"/>
          <w:szCs w:val="22"/>
        </w:rPr>
        <w:t xml:space="preserve">Careful re-reading confirmed that 'completed blades sliced through the chemical assembly line' means the finished product destroyed the factory machinery — not the other way around. Factory equipment failure, not product contamination. Long is correct.</w:t>
      </w:r>
    </w:p>
    <w:p>
      <w:pPr>
        <w:pStyle w:val="Heading2"/>
        <w:spacing w:after="100" w:before="280"/>
      </w:pPr>
      <w:r>
        <w:rPr>
          <w:rFonts w:ascii="Arial" w:cs="Arial" w:eastAsia="Arial" w:hAnsi="Arial"/>
          <w:b/>
          <w:bCs/>
          <w:color w:val="16213E"/>
          <w:sz w:val="26"/>
          <w:szCs w:val="26"/>
        </w:rPr>
        <w:t xml:space="preserve">3.5 Version 3 → Final: Calibrated Lagrangian with Correct Directions</w:t>
      </w:r>
    </w:p>
    <w:p>
      <w:pPr>
        <w:spacing w:after="100" w:before="60"/>
      </w:pPr>
      <w:r>
        <w:rPr>
          <w:rFonts w:ascii="Arial" w:cs="Arial" w:eastAsia="Arial" w:hAnsi="Arial"/>
          <w:sz w:val="22"/>
          <w:szCs w:val="22"/>
        </w:rPr>
        <w:t xml:space="preserve">With realistic μᵢ estimates of 22-32% for Tier-1 signals, the unconstrained sum of V*ᵢ = 60.05% — non-binding. The budget constraint does not fire, and we use the clean unconstrained optimum at 60% total allocation. This is within the empirically observed 'optimal zone' from past IMC manual rounds.</w:t>
      </w:r>
    </w:p>
    <w:p>
      <w:pPr>
        <w:spacing w:after="100" w:before="60"/>
      </w:pPr>
      <w:r>
        <w:rPr>
          <w:rFonts w:ascii="Arial" w:cs="Arial" w:eastAsia="Arial" w:hAnsi="Arial"/>
          <w:sz w:val="22"/>
          <w:szCs w:val="22"/>
        </w:rPr>
        <w:t xml:space="preserve">Obsidian Cutlery restored as Long. Lava Fountain Pen further reduced. Magma Ink, Ashes of Phoenix, Scoria Paste, Volcanic Incense all correctly excluded.</w:t>
      </w:r>
    </w:p>
    <w:p>
      <w:r>
        <w:br w:type="page"/>
      </w:r>
    </w:p>
    <w:p>
      <w:pPr>
        <w:pStyle w:val="Heading1"/>
        <w:spacing w:after="120" w:before="360"/>
      </w:pPr>
      <w:r>
        <w:rPr>
          <w:rFonts w:ascii="Arial" w:cs="Arial" w:eastAsia="Arial" w:hAnsi="Arial"/>
          <w:b/>
          <w:bCs/>
          <w:color w:val="1A1A2E"/>
          <w:sz w:val="32"/>
          <w:szCs w:val="32"/>
        </w:rPr>
        <w:t xml:space="preserve">4. Mathematical Framework</w:t>
      </w:r>
    </w:p>
    <w:p>
      <w:pPr>
        <w:pStyle w:val="Heading2"/>
        <w:spacing w:after="100" w:before="280"/>
      </w:pPr>
      <w:r>
        <w:rPr>
          <w:rFonts w:ascii="Arial" w:cs="Arial" w:eastAsia="Arial" w:hAnsi="Arial"/>
          <w:b/>
          <w:bCs/>
          <w:color w:val="16213E"/>
          <w:sz w:val="26"/>
          <w:szCs w:val="26"/>
        </w:rPr>
        <w:t xml:space="preserve">4.1 Objective Function</w:t>
      </w:r>
    </w:p>
    <w:p>
      <w:pPr>
        <w:spacing w:after="100" w:before="60"/>
      </w:pPr>
      <w:r>
        <w:rPr>
          <w:rFonts w:ascii="Arial" w:cs="Arial" w:eastAsia="Arial" w:hAnsi="Arial"/>
          <w:sz w:val="22"/>
          <w:szCs w:val="22"/>
        </w:rPr>
        <w:t xml:space="preserve">The objective is to maximize expected PnL net of fees:</w:t>
      </w:r>
    </w:p>
    <w:p>
      <w:pPr>
        <w:spacing w:after="100" w:before="60"/>
      </w:pPr>
      <w:r>
        <w:rPr>
          <w:rFonts w:ascii="Courier New" w:cs="Courier New" w:eastAsia="Courier New" w:hAnsi="Courier New"/>
          <w:sz w:val="20"/>
          <w:szCs w:val="20"/>
        </w:rPr>
        <w:t xml:space="preserve">PnL = Σᵢ [μᵢ × (Vᵢ/100) × Budget] − Σᵢ [(Vᵢ/100)² × Budget]</w:t>
      </w:r>
    </w:p>
    <w:p>
      <w:pPr>
        <w:spacing w:after="100" w:before="60"/>
      </w:pPr>
      <w:r>
        <w:rPr>
          <w:rFonts w:ascii="Arial" w:cs="Arial" w:eastAsia="Arial" w:hAnsi="Arial"/>
          <w:sz w:val="22"/>
          <w:szCs w:val="22"/>
        </w:rPr>
        <w:t xml:space="preserve">Expanding with Budget = 1,000,000 and Vᵢ in percentage points:</w:t>
      </w:r>
    </w:p>
    <w:p>
      <w:pPr>
        <w:spacing w:after="100" w:before="60"/>
      </w:pPr>
      <w:r>
        <w:rPr>
          <w:rFonts w:ascii="Courier New" w:cs="Courier New" w:eastAsia="Courier New" w:hAnsi="Courier New"/>
          <w:sz w:val="20"/>
          <w:szCs w:val="20"/>
        </w:rPr>
        <w:t xml:space="preserve">PnL = Σᵢ [10,000 μᵢ Vᵢ] − Σᵢ [100 Vᵢ²]</w:t>
      </w:r>
    </w:p>
    <w:p>
      <w:pPr>
        <w:pStyle w:val="Heading2"/>
        <w:spacing w:after="100" w:before="280"/>
      </w:pPr>
      <w:r>
        <w:rPr>
          <w:rFonts w:ascii="Arial" w:cs="Arial" w:eastAsia="Arial" w:hAnsi="Arial"/>
          <w:b/>
          <w:bCs/>
          <w:color w:val="16213E"/>
          <w:sz w:val="26"/>
          <w:szCs w:val="26"/>
        </w:rPr>
        <w:t xml:space="preserve">4.2 First-Order Conditions (Unconstrained)</w:t>
      </w:r>
    </w:p>
    <w:p>
      <w:pPr>
        <w:spacing w:after="100" w:before="60"/>
      </w:pPr>
      <w:r>
        <w:rPr>
          <w:rFonts w:ascii="Arial" w:cs="Arial" w:eastAsia="Arial" w:hAnsi="Arial"/>
          <w:sz w:val="22"/>
          <w:szCs w:val="22"/>
        </w:rPr>
        <w:t xml:space="preserve">Taking the partial derivative with respect to each Vᵢ and setting to zero:</w:t>
      </w:r>
    </w:p>
    <w:p>
      <w:pPr>
        <w:spacing w:after="100" w:before="60"/>
      </w:pPr>
      <w:r>
        <w:rPr>
          <w:rFonts w:ascii="Courier New" w:cs="Courier New" w:eastAsia="Courier New" w:hAnsi="Courier New"/>
          <w:sz w:val="20"/>
          <w:szCs w:val="20"/>
        </w:rPr>
        <w:t xml:space="preserve">∂PnL/∂Vᵢ = 10,000μᵢ − 200Vᵢ = 0</w:t>
      </w:r>
    </w:p>
    <w:p>
      <w:pPr>
        <w:spacing w:after="100" w:before="60"/>
      </w:pPr>
      <w:r>
        <w:rPr>
          <w:rFonts w:ascii="Courier New" w:cs="Courier New" w:eastAsia="Courier New" w:hAnsi="Courier New"/>
          <w:sz w:val="20"/>
          <w:szCs w:val="20"/>
        </w:rPr>
        <w:t xml:space="preserve">V*ᵢ = 50μᵢ  (Vᵢ in %, μᵢ as fractional return)</w:t>
      </w:r>
    </w:p>
    <w:p>
      <w:pPr>
        <w:spacing w:after="100" w:before="60"/>
      </w:pPr>
      <w:r>
        <w:rPr>
          <w:rFonts w:ascii="Arial" w:cs="Arial" w:eastAsia="Arial" w:hAnsi="Arial"/>
          <w:sz w:val="22"/>
          <w:szCs w:val="22"/>
        </w:rPr>
        <w:t xml:space="preserve">This is the unconstrained optimal allocation. It is strictly proportional to expected return — an asset with twice the expected return gets exactly twice the allocation.</w:t>
      </w:r>
    </w:p>
    <w:p>
      <w:pPr>
        <w:pStyle w:val="Heading2"/>
        <w:spacing w:after="100" w:before="280"/>
      </w:pPr>
      <w:r>
        <w:rPr>
          <w:rFonts w:ascii="Arial" w:cs="Arial" w:eastAsia="Arial" w:hAnsi="Arial"/>
          <w:b/>
          <w:bCs/>
          <w:color w:val="16213E"/>
          <w:sz w:val="26"/>
          <w:szCs w:val="26"/>
        </w:rPr>
        <w:t xml:space="preserve">4.3 Crowd Adjustment</w:t>
      </w:r>
    </w:p>
    <w:p>
      <w:pPr>
        <w:spacing w:after="100" w:before="60"/>
      </w:pPr>
      <w:r>
        <w:rPr>
          <w:rFonts w:ascii="Arial" w:cs="Arial" w:eastAsia="Arial" w:hAnsi="Arial"/>
          <w:sz w:val="22"/>
          <w:szCs w:val="22"/>
        </w:rPr>
        <w:t xml:space="preserve">Since participant submissions are endogenous (everyone sees the same news), raw signal μᵢ must be discounted by expected crowd participation:</w:t>
      </w:r>
    </w:p>
    <w:p>
      <w:pPr>
        <w:spacing w:after="100" w:before="60"/>
      </w:pPr>
      <w:r>
        <w:rPr>
          <w:rFonts w:ascii="Courier New" w:cs="Courier New" w:eastAsia="Courier New" w:hAnsi="Courier New"/>
          <w:sz w:val="20"/>
          <w:szCs w:val="20"/>
        </w:rPr>
        <w:t xml:space="preserve">μᵢ_adj = μᵢ_raw × crowd_retention_factor</w:t>
      </w:r>
    </w:p>
    <w:p>
      <w:pPr>
        <w:spacing w:after="100" w:before="60"/>
      </w:pPr>
      <w:r>
        <w:rPr>
          <w:rFonts w:ascii="Arial" w:cs="Arial" w:eastAsia="Arial" w:hAnsi="Arial"/>
          <w:sz w:val="22"/>
          <w:szCs w:val="22"/>
        </w:rPr>
        <w:t xml:space="preserve">The crowd retention factor reflects how much alpha survives after other participants take the same trade. Mechanical signals (index inclusion) retain ~90% because crowd participation is lower. Obvious hype trades retain as little as 25-35%.</w:t>
      </w:r>
    </w:p>
    <w:p>
      <w:pPr>
        <w:pStyle w:val="Heading2"/>
        <w:spacing w:after="100" w:before="280"/>
      </w:pPr>
      <w:r>
        <w:rPr>
          <w:rFonts w:ascii="Arial" w:cs="Arial" w:eastAsia="Arial" w:hAnsi="Arial"/>
          <w:b/>
          <w:bCs/>
          <w:color w:val="16213E"/>
          <w:sz w:val="26"/>
          <w:szCs w:val="26"/>
        </w:rPr>
        <w:t xml:space="preserve">4.4 Budget Constraint and Lagrangian</w:t>
      </w:r>
    </w:p>
    <w:p>
      <w:pPr>
        <w:spacing w:after="100" w:before="60"/>
      </w:pPr>
      <w:r>
        <w:rPr>
          <w:rFonts w:ascii="Arial" w:cs="Arial" w:eastAsia="Arial" w:hAnsi="Arial"/>
          <w:sz w:val="22"/>
          <w:szCs w:val="22"/>
        </w:rPr>
        <w:t xml:space="preserve">If ΣV*ᵢ &gt; 100%, the budget constraint binds and we apply a Lagrange multiplier λ:</w:t>
      </w:r>
    </w:p>
    <w:p>
      <w:pPr>
        <w:spacing w:after="100" w:before="60"/>
      </w:pPr>
      <w:r>
        <w:rPr>
          <w:rFonts w:ascii="Courier New" w:cs="Courier New" w:eastAsia="Courier New" w:hAnsi="Courier New"/>
          <w:sz w:val="20"/>
          <w:szCs w:val="20"/>
        </w:rPr>
        <w:t xml:space="preserve">V*ᵢ(λ) = max(0, 50 × (μᵢ_adj − λ))  where λ solves Σ V*ᵢ(λ) = 100%</w:t>
      </w:r>
    </w:p>
    <w:p>
      <w:pPr>
        <w:spacing w:after="100" w:before="60"/>
      </w:pPr>
      <w:r>
        <w:rPr>
          <w:rFonts w:ascii="Arial" w:cs="Arial" w:eastAsia="Arial" w:hAnsi="Arial"/>
          <w:sz w:val="22"/>
          <w:szCs w:val="22"/>
        </w:rPr>
        <w:t xml:space="preserve">In our final solution, the unconstrained sum = 60.05% &lt; 100%, so the constraint does not bind and λ = 0. Assets excluded from the active portfolio have adj alpha below the minimum threshold to justify their quadratic fee cost.</w:t>
      </w:r>
    </w:p>
    <w:p>
      <w:pPr>
        <w:pStyle w:val="Heading2"/>
        <w:spacing w:after="100" w:before="280"/>
      </w:pPr>
      <w:r>
        <w:rPr>
          <w:rFonts w:ascii="Arial" w:cs="Arial" w:eastAsia="Arial" w:hAnsi="Arial"/>
          <w:b/>
          <w:bCs/>
          <w:color w:val="16213E"/>
          <w:sz w:val="26"/>
          <w:szCs w:val="26"/>
        </w:rPr>
        <w:t xml:space="preserve">4.5 Why Not Use 100%?</w:t>
      </w:r>
    </w:p>
    <w:p>
      <w:pPr>
        <w:spacing w:after="100" w:before="60"/>
      </w:pPr>
      <w:r>
        <w:rPr>
          <w:rFonts w:ascii="Arial" w:cs="Arial" w:eastAsia="Arial" w:hAnsi="Arial"/>
          <w:sz w:val="22"/>
          <w:szCs w:val="22"/>
        </w:rPr>
        <w:t xml:space="preserve">This is the most common mistake. There are two distinct reasons the optimal allocation is not 100%:</w:t>
      </w:r>
    </w:p>
    <w:p>
      <w:pPr>
        <w:pStyle w:val="ListParagraph"/>
        <w:numPr>
          <w:ilvl w:val="0"/>
          <w:numId w:val="2"/>
        </w:numPr>
        <w:spacing w:after="40" w:before="40"/>
      </w:pPr>
      <w:r>
        <w:rPr>
          <w:rFonts w:ascii="Arial" w:cs="Arial" w:eastAsia="Arial" w:hAnsi="Arial"/>
          <w:b/>
          <w:bCs/>
          <w:sz w:val="22"/>
          <w:szCs w:val="22"/>
        </w:rPr>
        <w:t xml:space="preserve">Mathematical: </w:t>
      </w:r>
      <w:r>
        <w:rPr>
          <w:rFonts w:ascii="Arial" w:cs="Arial" w:eastAsia="Arial" w:hAnsi="Arial"/>
          <w:sz w:val="22"/>
          <w:szCs w:val="22"/>
        </w:rPr>
        <w:t xml:space="preserve">If the unconstrained optimum sum is below 100%, forcing additional allocation requires either creating new positions (with adj alpha so low they destroy PnL) or growing existing positions past their mathematical optimum (where the marginal fee exceeds marginal return). Both are value-destroying.</w:t>
      </w:r>
    </w:p>
    <w:p>
      <w:pPr>
        <w:pStyle w:val="ListParagraph"/>
        <w:numPr>
          <w:ilvl w:val="0"/>
          <w:numId w:val="2"/>
        </w:numPr>
        <w:spacing w:after="40" w:before="40"/>
      </w:pPr>
      <w:r>
        <w:rPr>
          <w:rFonts w:ascii="Arial" w:cs="Arial" w:eastAsia="Arial" w:hAnsi="Arial"/>
          <w:b/>
          <w:bCs/>
          <w:sz w:val="22"/>
          <w:szCs w:val="22"/>
        </w:rPr>
        <w:t xml:space="preserve">Practical: </w:t>
      </w:r>
      <w:r>
        <w:rPr>
          <w:rFonts w:ascii="Arial" w:cs="Arial" w:eastAsia="Arial" w:hAnsi="Arial"/>
          <w:sz w:val="22"/>
          <w:szCs w:val="22"/>
        </w:rPr>
        <w:t xml:space="preserve">Signals are uncertain. Noise in μᵢ estimates → noise in V*ᵢ. Over-allocation amplifies estimation errors quadratically through the fee structure.</w:t>
      </w:r>
    </w:p>
    <w:p>
      <w:pPr>
        <w:spacing w:after="100" w:before="60"/>
      </w:pPr>
      <w:r>
        <w:rPr>
          <w:rFonts w:ascii="Arial" w:cs="Arial" w:eastAsia="Arial" w:hAnsi="Arial"/>
          <w:sz w:val="22"/>
          <w:szCs w:val="22"/>
        </w:rPr>
        <w:t xml:space="preserve">Conversely, the optimal is also not artificially low. The critique that '30-50% is always optimal from past IMC rounds' is an empirical observation, not a mathematical law. The correct answer depends entirely on actual signal magnitudes.</w:t>
      </w:r>
    </w:p>
    <w:p>
      <w:r>
        <w:br w:type="page"/>
      </w:r>
    </w:p>
    <w:p>
      <w:pPr>
        <w:pStyle w:val="Heading1"/>
        <w:spacing w:after="120" w:before="360"/>
      </w:pPr>
      <w:r>
        <w:rPr>
          <w:rFonts w:ascii="Arial" w:cs="Arial" w:eastAsia="Arial" w:hAnsi="Arial"/>
          <w:b/>
          <w:bCs/>
          <w:color w:val="1A1A2E"/>
          <w:sz w:val="32"/>
          <w:szCs w:val="32"/>
        </w:rPr>
        <w:t xml:space="preserve">5. Final Optimal Portfolio — Submission</w:t>
      </w:r>
    </w:p>
    <w:p>
      <w:pPr>
        <w:spacing w:after="100" w:before="60"/>
      </w:pPr>
      <w:r>
        <w:rPr>
          <w:rFonts w:ascii="Arial" w:cs="Arial" w:eastAsia="Arial" w:hAnsi="Arial"/>
          <w:sz w:val="22"/>
          <w:szCs w:val="22"/>
        </w:rPr>
        <w:t xml:space="preserve">This is the definitive submission. All positions and allocations are derived from the Lagrangian optimization with crowd-adjusted alpha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60"/>
        <w:gridCol w:w="960"/>
        <w:gridCol w:w="1200"/>
        <w:gridCol w:w="1200"/>
        <w:gridCol w:w="1200"/>
        <w:gridCol w:w="1240"/>
      </w:tblGrid>
      <w:tr>
        <w:tc>
          <w:tcPr>
            <w:tcW w:type="dxa" w:w="9360"/>
            <w:gridSpan w:val="99"/>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Final Portfolio — V*ᵢ = 50 × μᵢ_adj</w:t>
            </w:r>
          </w:p>
        </w:tc>
      </w:tr>
      <w:tr>
        <w:tc>
          <w:tcPr>
            <w:tcW w:type="dxa" w:w="2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after="30" w:before="30"/>
              <w:jc w:val="left"/>
            </w:pPr>
            <w:r>
              <w:rPr>
                <w:rFonts w:ascii="Arial" w:cs="Arial" w:eastAsia="Arial" w:hAnsi="Arial"/>
                <w:b/>
                <w:bCs/>
                <w:color w:val="1A1A2E"/>
                <w:sz w:val="20"/>
                <w:szCs w:val="20"/>
              </w:rPr>
              <w:t xml:space="preserve">Asset</w:t>
            </w:r>
          </w:p>
        </w:tc>
        <w:tc>
          <w:tcPr>
            <w:tcW w:type="dxa" w:w="9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after="30" w:before="30"/>
              <w:jc w:val="left"/>
            </w:pPr>
            <w:r>
              <w:rPr>
                <w:rFonts w:ascii="Arial" w:cs="Arial" w:eastAsia="Arial" w:hAnsi="Arial"/>
                <w:b/>
                <w:bCs/>
                <w:color w:val="1A1A2E"/>
                <w:sz w:val="20"/>
                <w:szCs w:val="20"/>
              </w:rPr>
              <w:t xml:space="preserve">Action</w:t>
            </w:r>
          </w:p>
        </w:tc>
        <w:tc>
          <w:tcPr>
            <w:tcW w:type="dxa" w:w="9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after="30" w:before="30"/>
              <w:jc w:val="left"/>
            </w:pPr>
            <w:r>
              <w:rPr>
                <w:rFonts w:ascii="Arial" w:cs="Arial" w:eastAsia="Arial" w:hAnsi="Arial"/>
                <w:b/>
                <w:bCs/>
                <w:color w:val="1A1A2E"/>
                <w:sz w:val="20"/>
                <w:szCs w:val="20"/>
              </w:rPr>
              <w:t xml:space="preserve">V%</w:t>
            </w:r>
          </w:p>
        </w:tc>
        <w:tc>
          <w:tcPr>
            <w:tcW w:type="dxa" w:w="1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after="30" w:before="30"/>
              <w:jc w:val="left"/>
            </w:pPr>
            <w:r>
              <w:rPr>
                <w:rFonts w:ascii="Arial" w:cs="Arial" w:eastAsia="Arial" w:hAnsi="Arial"/>
                <w:b/>
                <w:bCs/>
                <w:color w:val="1A1A2E"/>
                <w:sz w:val="20"/>
                <w:szCs w:val="20"/>
              </w:rPr>
              <w:t xml:space="preserve">Capital</w:t>
            </w:r>
          </w:p>
        </w:tc>
        <w:tc>
          <w:tcPr>
            <w:tcW w:type="dxa" w:w="1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after="30" w:before="30"/>
              <w:jc w:val="left"/>
            </w:pPr>
            <w:r>
              <w:rPr>
                <w:rFonts w:ascii="Arial" w:cs="Arial" w:eastAsia="Arial" w:hAnsi="Arial"/>
                <w:b/>
                <w:bCs/>
                <w:color w:val="1A1A2E"/>
                <w:sz w:val="20"/>
                <w:szCs w:val="20"/>
              </w:rPr>
              <w:t xml:space="preserve">Fee</w:t>
            </w:r>
          </w:p>
        </w:tc>
        <w:tc>
          <w:tcPr>
            <w:tcW w:type="dxa" w:w="1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after="30" w:before="30"/>
              <w:jc w:val="left"/>
            </w:pPr>
            <w:r>
              <w:rPr>
                <w:rFonts w:ascii="Arial" w:cs="Arial" w:eastAsia="Arial" w:hAnsi="Arial"/>
                <w:b/>
                <w:bCs/>
                <w:color w:val="1A1A2E"/>
                <w:sz w:val="20"/>
                <w:szCs w:val="20"/>
              </w:rPr>
              <w:t xml:space="preserve">Adj μ</w:t>
            </w:r>
          </w:p>
        </w:tc>
        <w:tc>
          <w:tcPr>
            <w:tcW w:type="dxa" w:w="12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after="30" w:before="30"/>
              <w:jc w:val="left"/>
            </w:pPr>
            <w:r>
              <w:rPr>
                <w:rFonts w:ascii="Arial" w:cs="Arial" w:eastAsia="Arial" w:hAnsi="Arial"/>
                <w:b/>
                <w:bCs/>
                <w:color w:val="1A1A2E"/>
                <w:sz w:val="20"/>
                <w:szCs w:val="20"/>
              </w:rPr>
              <w:t xml:space="preserve">Tier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bCs/>
                <w:color w:val="1A1A2E"/>
                <w:sz w:val="20"/>
                <w:szCs w:val="20"/>
              </w:rPr>
              <w:t xml:space="preserve">Sulfur Reactor</w:t>
            </w:r>
          </w:p>
        </w:tc>
        <w:tc>
          <w:tcPr>
            <w:tcW w:type="dxa" w:w="9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spacing w:after="30" w:before="30"/>
              <w:jc w:val="center"/>
            </w:pPr>
            <w:r>
              <w:rPr>
                <w:rFonts w:ascii="Arial" w:cs="Arial" w:eastAsia="Arial" w:hAnsi="Arial"/>
                <w:b/>
                <w:bCs/>
                <w:color w:val="1B7340"/>
                <w:sz w:val="20"/>
                <w:szCs w:val="20"/>
              </w:rPr>
              <w:t xml:space="preserve">LONG</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right"/>
            </w:pPr>
            <w:r>
              <w:rPr>
                <w:rFonts w:ascii="Arial" w:cs="Arial" w:eastAsia="Arial" w:hAnsi="Arial"/>
                <w:b/>
                <w:bCs/>
                <w:color w:val="1A1A2E"/>
                <w:sz w:val="20"/>
                <w:szCs w:val="20"/>
              </w:rPr>
              <w:t xml:space="preserve">13.50%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right"/>
            </w:pPr>
            <w:r>
              <w:rPr>
                <w:rFonts w:ascii="Arial" w:cs="Arial" w:eastAsia="Arial" w:hAnsi="Arial"/>
                <w:b w:val="false"/>
                <w:bCs w:val="false"/>
                <w:color w:val="1A1A2E"/>
                <w:sz w:val="20"/>
                <w:szCs w:val="20"/>
              </w:rPr>
              <w:t xml:space="preserve">$135,000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right"/>
            </w:pPr>
            <w:r>
              <w:rPr>
                <w:rFonts w:ascii="Arial" w:cs="Arial" w:eastAsia="Arial" w:hAnsi="Arial"/>
                <w:b w:val="false"/>
                <w:bCs w:val="false"/>
                <w:color w:val="A32D2D"/>
                <w:sz w:val="20"/>
                <w:szCs w:val="20"/>
              </w:rPr>
              <w:t xml:space="preserve">$18,225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right"/>
            </w:pPr>
            <w:r>
              <w:rPr>
                <w:rFonts w:ascii="Arial" w:cs="Arial" w:eastAsia="Arial" w:hAnsi="Arial"/>
                <w:b w:val="false"/>
                <w:bCs w:val="false"/>
                <w:color w:val="1A1A2E"/>
                <w:sz w:val="20"/>
                <w:szCs w:val="20"/>
              </w:rPr>
              <w:t xml:space="preserve">27.0%</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center"/>
            </w:pPr>
            <w:r>
              <w:rPr>
                <w:rFonts w:ascii="Arial" w:cs="Arial" w:eastAsia="Arial" w:hAnsi="Arial"/>
                <w:b w:val="false"/>
                <w:bCs w:val="false"/>
                <w:color w:val="0F3460"/>
                <w:sz w:val="20"/>
                <w:szCs w:val="20"/>
              </w:rPr>
              <w:t xml:space="preserve">Tier 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bCs/>
                <w:color w:val="1A1A2E"/>
                <w:sz w:val="20"/>
                <w:szCs w:val="20"/>
              </w:rPr>
              <w:t xml:space="preserve">Lava Cakes</w:t>
            </w:r>
          </w:p>
        </w:tc>
        <w:tc>
          <w:tcPr>
            <w:tcW w:type="dxa" w:w="9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spacing w:after="30" w:before="30"/>
              <w:jc w:val="center"/>
            </w:pPr>
            <w:r>
              <w:rPr>
                <w:rFonts w:ascii="Arial" w:cs="Arial" w:eastAsia="Arial" w:hAnsi="Arial"/>
                <w:b/>
                <w:bCs/>
                <w:color w:val="A32D2D"/>
                <w:sz w:val="20"/>
                <w:szCs w:val="20"/>
              </w:rPr>
              <w:t xml:space="preserve">SHORT</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right"/>
            </w:pPr>
            <w:r>
              <w:rPr>
                <w:rFonts w:ascii="Arial" w:cs="Arial" w:eastAsia="Arial" w:hAnsi="Arial"/>
                <w:b/>
                <w:bCs/>
                <w:color w:val="1A1A2E"/>
                <w:sz w:val="20"/>
                <w:szCs w:val="20"/>
              </w:rPr>
              <w:t xml:space="preserve">13.28%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right"/>
            </w:pPr>
            <w:r>
              <w:rPr>
                <w:rFonts w:ascii="Arial" w:cs="Arial" w:eastAsia="Arial" w:hAnsi="Arial"/>
                <w:b w:val="false"/>
                <w:bCs w:val="false"/>
                <w:color w:val="1A1A2E"/>
                <w:sz w:val="20"/>
                <w:szCs w:val="20"/>
              </w:rPr>
              <w:t xml:space="preserve">$132,800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right"/>
            </w:pPr>
            <w:r>
              <w:rPr>
                <w:rFonts w:ascii="Arial" w:cs="Arial" w:eastAsia="Arial" w:hAnsi="Arial"/>
                <w:b w:val="false"/>
                <w:bCs w:val="false"/>
                <w:color w:val="A32D2D"/>
                <w:sz w:val="20"/>
                <w:szCs w:val="20"/>
              </w:rPr>
              <w:t xml:space="preserve">$17,636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right"/>
            </w:pPr>
            <w:r>
              <w:rPr>
                <w:rFonts w:ascii="Arial" w:cs="Arial" w:eastAsia="Arial" w:hAnsi="Arial"/>
                <w:b w:val="false"/>
                <w:bCs w:val="false"/>
                <w:color w:val="1A1A2E"/>
                <w:sz w:val="20"/>
                <w:szCs w:val="20"/>
              </w:rPr>
              <w:t xml:space="preserve">26.6%</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center"/>
            </w:pPr>
            <w:r>
              <w:rPr>
                <w:rFonts w:ascii="Arial" w:cs="Arial" w:eastAsia="Arial" w:hAnsi="Arial"/>
                <w:b w:val="false"/>
                <w:bCs w:val="false"/>
                <w:color w:val="0F3460"/>
                <w:sz w:val="20"/>
                <w:szCs w:val="20"/>
              </w:rPr>
              <w:t xml:space="preserve">Tier 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bCs/>
                <w:color w:val="1A1A2E"/>
                <w:sz w:val="20"/>
                <w:szCs w:val="20"/>
              </w:rPr>
              <w:t xml:space="preserve">Thermalite Cores</w:t>
            </w:r>
          </w:p>
        </w:tc>
        <w:tc>
          <w:tcPr>
            <w:tcW w:type="dxa" w:w="9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spacing w:after="30" w:before="30"/>
              <w:jc w:val="center"/>
            </w:pPr>
            <w:r>
              <w:rPr>
                <w:rFonts w:ascii="Arial" w:cs="Arial" w:eastAsia="Arial" w:hAnsi="Arial"/>
                <w:b/>
                <w:bCs/>
                <w:color w:val="1B7340"/>
                <w:sz w:val="20"/>
                <w:szCs w:val="20"/>
              </w:rPr>
              <w:t xml:space="preserve">LONG</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right"/>
            </w:pPr>
            <w:r>
              <w:rPr>
                <w:rFonts w:ascii="Arial" w:cs="Arial" w:eastAsia="Arial" w:hAnsi="Arial"/>
                <w:b/>
                <w:bCs/>
                <w:color w:val="1A1A2E"/>
                <w:sz w:val="20"/>
                <w:szCs w:val="20"/>
              </w:rPr>
              <w:t xml:space="preserve">10.92%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right"/>
            </w:pPr>
            <w:r>
              <w:rPr>
                <w:rFonts w:ascii="Arial" w:cs="Arial" w:eastAsia="Arial" w:hAnsi="Arial"/>
                <w:b w:val="false"/>
                <w:bCs w:val="false"/>
                <w:color w:val="1A1A2E"/>
                <w:sz w:val="20"/>
                <w:szCs w:val="20"/>
              </w:rPr>
              <w:t xml:space="preserve">$109,200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right"/>
            </w:pPr>
            <w:r>
              <w:rPr>
                <w:rFonts w:ascii="Arial" w:cs="Arial" w:eastAsia="Arial" w:hAnsi="Arial"/>
                <w:b w:val="false"/>
                <w:bCs w:val="false"/>
                <w:color w:val="A32D2D"/>
                <w:sz w:val="20"/>
                <w:szCs w:val="20"/>
              </w:rPr>
              <w:t xml:space="preserve">$11,925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right"/>
            </w:pPr>
            <w:r>
              <w:rPr>
                <w:rFonts w:ascii="Arial" w:cs="Arial" w:eastAsia="Arial" w:hAnsi="Arial"/>
                <w:b w:val="false"/>
                <w:bCs w:val="false"/>
                <w:color w:val="1A1A2E"/>
                <w:sz w:val="20"/>
                <w:szCs w:val="20"/>
              </w:rPr>
              <w:t xml:space="preserve">21.8%</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center"/>
            </w:pPr>
            <w:r>
              <w:rPr>
                <w:rFonts w:ascii="Arial" w:cs="Arial" w:eastAsia="Arial" w:hAnsi="Arial"/>
                <w:b w:val="false"/>
                <w:bCs w:val="false"/>
                <w:color w:val="0F3460"/>
                <w:sz w:val="20"/>
                <w:szCs w:val="20"/>
              </w:rPr>
              <w:t xml:space="preserve">Tier 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bCs/>
                <w:color w:val="1A1A2E"/>
                <w:sz w:val="20"/>
                <w:szCs w:val="20"/>
              </w:rPr>
              <w:t xml:space="preserve">Obsidian Cutlery</w:t>
            </w:r>
          </w:p>
        </w:tc>
        <w:tc>
          <w:tcPr>
            <w:tcW w:type="dxa" w:w="9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spacing w:after="30" w:before="30"/>
              <w:jc w:val="center"/>
            </w:pPr>
            <w:r>
              <w:rPr>
                <w:rFonts w:ascii="Arial" w:cs="Arial" w:eastAsia="Arial" w:hAnsi="Arial"/>
                <w:b/>
                <w:bCs/>
                <w:color w:val="1B7340"/>
                <w:sz w:val="20"/>
                <w:szCs w:val="20"/>
              </w:rPr>
              <w:t xml:space="preserve">LONG</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right"/>
            </w:pPr>
            <w:r>
              <w:rPr>
                <w:rFonts w:ascii="Arial" w:cs="Arial" w:eastAsia="Arial" w:hAnsi="Arial"/>
                <w:b/>
                <w:bCs/>
                <w:color w:val="1A1A2E"/>
                <w:sz w:val="20"/>
                <w:szCs w:val="20"/>
              </w:rPr>
              <w:t xml:space="preserve">9.35%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right"/>
            </w:pPr>
            <w:r>
              <w:rPr>
                <w:rFonts w:ascii="Arial" w:cs="Arial" w:eastAsia="Arial" w:hAnsi="Arial"/>
                <w:b w:val="false"/>
                <w:bCs w:val="false"/>
                <w:color w:val="1A1A2E"/>
                <w:sz w:val="20"/>
                <w:szCs w:val="20"/>
              </w:rPr>
              <w:t xml:space="preserve">$93,500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right"/>
            </w:pPr>
            <w:r>
              <w:rPr>
                <w:rFonts w:ascii="Arial" w:cs="Arial" w:eastAsia="Arial" w:hAnsi="Arial"/>
                <w:b w:val="false"/>
                <w:bCs w:val="false"/>
                <w:color w:val="A32D2D"/>
                <w:sz w:val="20"/>
                <w:szCs w:val="20"/>
              </w:rPr>
              <w:t xml:space="preserve">$8,742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right"/>
            </w:pPr>
            <w:r>
              <w:rPr>
                <w:rFonts w:ascii="Arial" w:cs="Arial" w:eastAsia="Arial" w:hAnsi="Arial"/>
                <w:b w:val="false"/>
                <w:bCs w:val="false"/>
                <w:color w:val="1A1A2E"/>
                <w:sz w:val="20"/>
                <w:szCs w:val="20"/>
              </w:rPr>
              <w:t xml:space="preserve">18.7%</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center"/>
            </w:pPr>
            <w:r>
              <w:rPr>
                <w:rFonts w:ascii="Arial" w:cs="Arial" w:eastAsia="Arial" w:hAnsi="Arial"/>
                <w:b w:val="false"/>
                <w:bCs w:val="false"/>
                <w:color w:val="444444"/>
                <w:sz w:val="20"/>
                <w:szCs w:val="20"/>
              </w:rPr>
              <w:t xml:space="preserve">Tier 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bCs/>
                <w:color w:val="1A1A2E"/>
                <w:sz w:val="20"/>
                <w:szCs w:val="20"/>
              </w:rPr>
              <w:t xml:space="preserve">Pyroflex Cells</w:t>
            </w:r>
          </w:p>
        </w:tc>
        <w:tc>
          <w:tcPr>
            <w:tcW w:type="dxa" w:w="9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spacing w:after="30" w:before="30"/>
              <w:jc w:val="center"/>
            </w:pPr>
            <w:r>
              <w:rPr>
                <w:rFonts w:ascii="Arial" w:cs="Arial" w:eastAsia="Arial" w:hAnsi="Arial"/>
                <w:b/>
                <w:bCs/>
                <w:color w:val="A32D2D"/>
                <w:sz w:val="20"/>
                <w:szCs w:val="20"/>
              </w:rPr>
              <w:t xml:space="preserve">SHORT</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right"/>
            </w:pPr>
            <w:r>
              <w:rPr>
                <w:rFonts w:ascii="Arial" w:cs="Arial" w:eastAsia="Arial" w:hAnsi="Arial"/>
                <w:b/>
                <w:bCs/>
                <w:color w:val="1A1A2E"/>
                <w:sz w:val="20"/>
                <w:szCs w:val="20"/>
              </w:rPr>
              <w:t xml:space="preserve">8.20%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right"/>
            </w:pPr>
            <w:r>
              <w:rPr>
                <w:rFonts w:ascii="Arial" w:cs="Arial" w:eastAsia="Arial" w:hAnsi="Arial"/>
                <w:b w:val="false"/>
                <w:bCs w:val="false"/>
                <w:color w:val="1A1A2E"/>
                <w:sz w:val="20"/>
                <w:szCs w:val="20"/>
              </w:rPr>
              <w:t xml:space="preserve">$82,000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right"/>
            </w:pPr>
            <w:r>
              <w:rPr>
                <w:rFonts w:ascii="Arial" w:cs="Arial" w:eastAsia="Arial" w:hAnsi="Arial"/>
                <w:b w:val="false"/>
                <w:bCs w:val="false"/>
                <w:color w:val="A32D2D"/>
                <w:sz w:val="20"/>
                <w:szCs w:val="20"/>
              </w:rPr>
              <w:t xml:space="preserve">$6,724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right"/>
            </w:pPr>
            <w:r>
              <w:rPr>
                <w:rFonts w:ascii="Arial" w:cs="Arial" w:eastAsia="Arial" w:hAnsi="Arial"/>
                <w:b w:val="false"/>
                <w:bCs w:val="false"/>
                <w:color w:val="1A1A2E"/>
                <w:sz w:val="20"/>
                <w:szCs w:val="20"/>
              </w:rPr>
              <w:t xml:space="preserve">16.4%</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center"/>
            </w:pPr>
            <w:r>
              <w:rPr>
                <w:rFonts w:ascii="Arial" w:cs="Arial" w:eastAsia="Arial" w:hAnsi="Arial"/>
                <w:b w:val="false"/>
                <w:bCs w:val="false"/>
                <w:color w:val="444444"/>
                <w:sz w:val="20"/>
                <w:szCs w:val="20"/>
              </w:rPr>
              <w:t xml:space="preserve">Tier 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bCs/>
                <w:color w:val="1A1A2E"/>
                <w:sz w:val="20"/>
                <w:szCs w:val="20"/>
              </w:rPr>
              <w:t xml:space="preserve">Lava Fountain Pen</w:t>
            </w:r>
          </w:p>
        </w:tc>
        <w:tc>
          <w:tcPr>
            <w:tcW w:type="dxa" w:w="9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spacing w:after="30" w:before="30"/>
              <w:jc w:val="center"/>
            </w:pPr>
            <w:r>
              <w:rPr>
                <w:rFonts w:ascii="Arial" w:cs="Arial" w:eastAsia="Arial" w:hAnsi="Arial"/>
                <w:b/>
                <w:bCs/>
                <w:color w:val="1B7340"/>
                <w:sz w:val="20"/>
                <w:szCs w:val="20"/>
              </w:rPr>
              <w:t xml:space="preserve">LONG</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right"/>
            </w:pPr>
            <w:r>
              <w:rPr>
                <w:rFonts w:ascii="Arial" w:cs="Arial" w:eastAsia="Arial" w:hAnsi="Arial"/>
                <w:b/>
                <w:bCs/>
                <w:color w:val="1A1A2E"/>
                <w:sz w:val="20"/>
                <w:szCs w:val="20"/>
              </w:rPr>
              <w:t xml:space="preserve">4.80%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right"/>
            </w:pPr>
            <w:r>
              <w:rPr>
                <w:rFonts w:ascii="Arial" w:cs="Arial" w:eastAsia="Arial" w:hAnsi="Arial"/>
                <w:b w:val="false"/>
                <w:bCs w:val="false"/>
                <w:color w:val="1A1A2E"/>
                <w:sz w:val="20"/>
                <w:szCs w:val="20"/>
              </w:rPr>
              <w:t xml:space="preserve">$48,000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right"/>
            </w:pPr>
            <w:r>
              <w:rPr>
                <w:rFonts w:ascii="Arial" w:cs="Arial" w:eastAsia="Arial" w:hAnsi="Arial"/>
                <w:b w:val="false"/>
                <w:bCs w:val="false"/>
                <w:color w:val="A32D2D"/>
                <w:sz w:val="20"/>
                <w:szCs w:val="20"/>
              </w:rPr>
              <w:t xml:space="preserve">$2,304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right"/>
            </w:pPr>
            <w:r>
              <w:rPr>
                <w:rFonts w:ascii="Arial" w:cs="Arial" w:eastAsia="Arial" w:hAnsi="Arial"/>
                <w:b w:val="false"/>
                <w:bCs w:val="false"/>
                <w:color w:val="1A1A2E"/>
                <w:sz w:val="20"/>
                <w:szCs w:val="20"/>
              </w:rPr>
              <w:t xml:space="preserve">9.6%</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center"/>
            </w:pPr>
            <w:r>
              <w:rPr>
                <w:rFonts w:ascii="Arial" w:cs="Arial" w:eastAsia="Arial" w:hAnsi="Arial"/>
                <w:b w:val="false"/>
                <w:bCs w:val="false"/>
                <w:color w:val="444444"/>
                <w:sz w:val="20"/>
                <w:szCs w:val="20"/>
              </w:rPr>
              <w:t xml:space="preserve">Tier 2</w:t>
            </w:r>
          </w:p>
        </w:tc>
      </w:tr>
      <w:tr>
        <w:tc>
          <w:tcPr>
            <w:tcW w:type="dxa" w:w="26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pPr>
              <w:spacing w:after="30" w:before="30"/>
              <w:jc w:val="left"/>
            </w:pPr>
            <w:r>
              <w:rPr>
                <w:rFonts w:ascii="Arial" w:cs="Arial" w:eastAsia="Arial" w:hAnsi="Arial"/>
                <w:b/>
                <w:bCs/>
                <w:color w:val="1A1A2E"/>
                <w:sz w:val="20"/>
                <w:szCs w:val="20"/>
              </w:rPr>
              <w:t xml:space="preserve">TOTAL ACTIVE</w:t>
            </w:r>
          </w:p>
        </w:tc>
        <w:tc>
          <w:tcPr>
            <w:tcW w:type="dxa" w:w="9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pPr>
              <w:spacing w:after="30" w:before="30"/>
              <w:jc w:val="left"/>
            </w:pPr>
            <w:r>
              <w:rPr>
                <w:rFonts w:ascii="Arial" w:cs="Arial" w:eastAsia="Arial" w:hAnsi="Arial"/>
                <w:b/>
                <w:bCs/>
                <w:color w:val="1A1A2E"/>
                <w:sz w:val="20"/>
                <w:szCs w:val="20"/>
              </w:rPr>
              <w:t xml:space="preserve">6 positions</w:t>
            </w:r>
          </w:p>
        </w:tc>
        <w:tc>
          <w:tcPr>
            <w:tcW w:type="dxa" w:w="9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pPr>
              <w:spacing w:after="30" w:before="30"/>
              <w:jc w:val="right"/>
            </w:pPr>
            <w:r>
              <w:rPr>
                <w:rFonts w:ascii="Arial" w:cs="Arial" w:eastAsia="Arial" w:hAnsi="Arial"/>
                <w:b/>
                <w:bCs/>
                <w:color w:val="1A1A2E"/>
                <w:sz w:val="20"/>
                <w:szCs w:val="20"/>
              </w:rPr>
              <w:t xml:space="preserve">60.05%</w:t>
            </w:r>
          </w:p>
        </w:tc>
        <w:tc>
          <w:tcPr>
            <w:tcW w:type="dxa" w:w="1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pPr>
              <w:spacing w:after="30" w:before="30"/>
              <w:jc w:val="right"/>
            </w:pPr>
            <w:r>
              <w:rPr>
                <w:rFonts w:ascii="Arial" w:cs="Arial" w:eastAsia="Arial" w:hAnsi="Arial"/>
                <w:b/>
                <w:bCs/>
                <w:color w:val="1A1A2E"/>
                <w:sz w:val="20"/>
                <w:szCs w:val="20"/>
              </w:rPr>
              <w:t xml:space="preserve">$600,500</w:t>
            </w:r>
          </w:p>
        </w:tc>
        <w:tc>
          <w:tcPr>
            <w:tcW w:type="dxa" w:w="1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pPr>
              <w:spacing w:after="30" w:before="30"/>
              <w:jc w:val="right"/>
            </w:pPr>
            <w:r>
              <w:rPr>
                <w:rFonts w:ascii="Arial" w:cs="Arial" w:eastAsia="Arial" w:hAnsi="Arial"/>
                <w:b/>
                <w:bCs/>
                <w:color w:val="A32D2D"/>
                <w:sz w:val="20"/>
                <w:szCs w:val="20"/>
              </w:rPr>
              <w:t xml:space="preserve">$65,556</w:t>
            </w:r>
          </w:p>
        </w:tc>
        <w:tc>
          <w:tcPr>
            <w:tcW w:type="dxa" w:w="1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w:t>
            </w:r>
          </w:p>
        </w:tc>
        <w:tc>
          <w:tcPr>
            <w:tcW w:type="dxa" w:w="124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w:t>
            </w:r>
          </w:p>
        </w:tc>
      </w:tr>
      <w:tr>
        <w:tc>
          <w:tcPr>
            <w:tcW w:type="dxa" w:w="26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pPr>
              <w:spacing w:after="30" w:before="30"/>
              <w:jc w:val="left"/>
            </w:pPr>
            <w:r>
              <w:rPr>
                <w:rFonts w:ascii="Arial" w:cs="Arial" w:eastAsia="Arial" w:hAnsi="Arial"/>
                <w:b w:val="false"/>
                <w:bCs w:val="false"/>
                <w:color w:val="888888"/>
                <w:sz w:val="20"/>
                <w:szCs w:val="20"/>
              </w:rPr>
              <w:t xml:space="preserve">UNUSED BUDGET</w:t>
            </w:r>
          </w:p>
        </w:tc>
        <w:tc>
          <w:tcPr>
            <w:tcW w:type="dxa" w:w="9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w:t>
            </w:r>
          </w:p>
        </w:tc>
        <w:tc>
          <w:tcPr>
            <w:tcW w:type="dxa" w:w="9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pPr>
              <w:spacing w:after="30" w:before="30"/>
              <w:jc w:val="right"/>
            </w:pPr>
            <w:r>
              <w:rPr>
                <w:rFonts w:ascii="Arial" w:cs="Arial" w:eastAsia="Arial" w:hAnsi="Arial"/>
                <w:b w:val="false"/>
                <w:bCs w:val="false"/>
                <w:color w:val="888888"/>
                <w:sz w:val="20"/>
                <w:szCs w:val="20"/>
              </w:rPr>
              <w:t xml:space="preserve">39.95%</w:t>
            </w:r>
          </w:p>
        </w:tc>
        <w:tc>
          <w:tcPr>
            <w:tcW w:type="dxa" w:w="1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pPr>
              <w:spacing w:after="30" w:before="30"/>
              <w:jc w:val="right"/>
            </w:pPr>
            <w:r>
              <w:rPr>
                <w:rFonts w:ascii="Arial" w:cs="Arial" w:eastAsia="Arial" w:hAnsi="Arial"/>
                <w:b w:val="false"/>
                <w:bCs w:val="false"/>
                <w:color w:val="888888"/>
                <w:sz w:val="20"/>
                <w:szCs w:val="20"/>
              </w:rPr>
              <w:t xml:space="preserve">$399,500</w:t>
            </w:r>
          </w:p>
        </w:tc>
        <w:tc>
          <w:tcPr>
            <w:tcW w:type="dxa" w:w="1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pPr>
              <w:spacing w:after="30" w:before="30"/>
              <w:jc w:val="right"/>
            </w:pPr>
            <w:r>
              <w:rPr>
                <w:rFonts w:ascii="Arial" w:cs="Arial" w:eastAsia="Arial" w:hAnsi="Arial"/>
                <w:b w:val="false"/>
                <w:bCs w:val="false"/>
                <w:color w:val="888888"/>
                <w:sz w:val="20"/>
                <w:szCs w:val="20"/>
              </w:rPr>
              <w:t xml:space="preserve">$0</w:t>
            </w:r>
          </w:p>
        </w:tc>
        <w:tc>
          <w:tcPr>
            <w:tcW w:type="dxa" w:w="1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w:t>
            </w:r>
          </w:p>
        </w:tc>
        <w:tc>
          <w:tcPr>
            <w:tcW w:type="dxa" w:w="124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pPr>
              <w:spacing w:after="30" w:before="30"/>
              <w:jc w:val="center"/>
            </w:pPr>
            <w:r>
              <w:rPr>
                <w:rFonts w:ascii="Arial" w:cs="Arial" w:eastAsia="Arial" w:hAnsi="Arial"/>
                <w:b w:val="false"/>
                <w:bCs w:val="false"/>
                <w:color w:val="888888"/>
                <w:sz w:val="20"/>
                <w:szCs w:val="20"/>
              </w:rPr>
              <w:t xml:space="preserve">Expires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4360"/>
      </w:tblGrid>
      <w:tr>
        <w:tc>
          <w:tcPr>
            <w:tcW w:type="dxa" w:w="9360"/>
            <w:gridSpan w:val="99"/>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Skipped Assets — Rationale</w:t>
            </w:r>
          </w:p>
        </w:tc>
      </w:tr>
      <w:tr>
        <w:tc>
          <w:tcPr>
            <w:tcW w:type="dxa" w:w="2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after="30" w:before="30"/>
              <w:jc w:val="left"/>
            </w:pPr>
            <w:r>
              <w:rPr>
                <w:rFonts w:ascii="Arial" w:cs="Arial" w:eastAsia="Arial" w:hAnsi="Arial"/>
                <w:b/>
                <w:bCs/>
                <w:color w:val="1A1A2E"/>
                <w:sz w:val="20"/>
                <w:szCs w:val="20"/>
              </w:rPr>
              <w:t xml:space="preserve">Asset</w:t>
            </w:r>
          </w:p>
        </w:tc>
        <w:tc>
          <w:tcPr>
            <w:tcW w:type="dxa" w:w="1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after="30" w:before="30"/>
              <w:jc w:val="left"/>
            </w:pPr>
            <w:r>
              <w:rPr>
                <w:rFonts w:ascii="Arial" w:cs="Arial" w:eastAsia="Arial" w:hAnsi="Arial"/>
                <w:b/>
                <w:bCs/>
                <w:color w:val="1A1A2E"/>
                <w:sz w:val="20"/>
                <w:szCs w:val="20"/>
              </w:rPr>
              <w:t xml:space="preserve">Raw μ</w:t>
            </w:r>
          </w:p>
        </w:tc>
        <w:tc>
          <w:tcPr>
            <w:tcW w:type="dxa" w:w="1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after="30" w:before="30"/>
              <w:jc w:val="left"/>
            </w:pPr>
            <w:r>
              <w:rPr>
                <w:rFonts w:ascii="Arial" w:cs="Arial" w:eastAsia="Arial" w:hAnsi="Arial"/>
                <w:b/>
                <w:bCs/>
                <w:color w:val="1A1A2E"/>
                <w:sz w:val="20"/>
                <w:szCs w:val="20"/>
              </w:rPr>
              <w:t xml:space="preserve">Adj μ</w:t>
            </w:r>
          </w:p>
        </w:tc>
        <w:tc>
          <w:tcPr>
            <w:tcW w:type="dxa" w:w="4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after="30" w:before="30"/>
              <w:jc w:val="left"/>
            </w:pPr>
            <w:r>
              <w:rPr>
                <w:rFonts w:ascii="Arial" w:cs="Arial" w:eastAsia="Arial" w:hAnsi="Arial"/>
                <w:b/>
                <w:bCs/>
                <w:color w:val="1A1A2E"/>
                <w:sz w:val="20"/>
                <w:szCs w:val="20"/>
              </w:rPr>
              <w:t xml:space="preserve">Reason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Magma Ink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5.0%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Derivative of Lava Pen. After crowd discount, adj alpha barely justifies fee cost. Dropped.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Ashes of Phoenix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7.8%</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Reputational damage real but moderate. Adj alpha insufficient vs quadratic fee hurdle.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Scoria Paste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2.8%</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Influencer pump (Lava D. Ray). Near-zero adj alpha after crowd discount. Skip.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Volcanic Incense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1.3%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Narrow-window coordinated buying = pump. Return anchor unknown. Skip.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Obsidian Cutlery (initially)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22%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n/a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Initially removed (V2) due to ambiguity. Restored in V3 after careful re-reading confirmed supply shock, not product recall.</w:t>
            </w:r>
          </w:p>
        </w:tc>
      </w:tr>
    </w:tbl>
    <w:p>
      <w:pPr>
        <w:spacing w:after="0" w:before="200"/>
      </w:pPr>
    </w:p>
    <w:p>
      <w:pPr>
        <w:pStyle w:val="Heading2"/>
        <w:spacing w:after="100" w:before="280"/>
      </w:pPr>
      <w:r>
        <w:rPr>
          <w:rFonts w:ascii="Arial" w:cs="Arial" w:eastAsia="Arial" w:hAnsi="Arial"/>
          <w:b/>
          <w:bCs/>
          <w:color w:val="16213E"/>
          <w:sz w:val="26"/>
          <w:szCs w:val="26"/>
        </w:rPr>
        <w:t xml:space="preserve">5.1 Position-by-Position Reasoning</w:t>
      </w:r>
    </w:p>
    <w:p>
      <w:pPr>
        <w:pStyle w:val="Heading3"/>
        <w:spacing w:after="80" w:before="200"/>
      </w:pPr>
      <w:r>
        <w:rPr>
          <w:rFonts w:ascii="Arial" w:cs="Arial" w:eastAsia="Arial" w:hAnsi="Arial"/>
          <w:b/>
          <w:bCs/>
          <w:color w:val="0F3460"/>
          <w:sz w:val="22"/>
          <w:szCs w:val="22"/>
        </w:rPr>
        <w:t xml:space="preserve">Sulfur Reactor — LONG 13.50%</w:t>
      </w:r>
    </w:p>
    <w:p>
      <w:pPr>
        <w:spacing w:after="100" w:before="60"/>
      </w:pPr>
      <w:r>
        <w:rPr>
          <w:rFonts w:ascii="Arial" w:cs="Arial" w:eastAsia="Arial" w:hAnsi="Arial"/>
          <w:b/>
          <w:bCs/>
          <w:sz w:val="22"/>
          <w:szCs w:val="22"/>
        </w:rPr>
        <w:t xml:space="preserve">Signal: </w:t>
      </w:r>
      <w:r>
        <w:rPr>
          <w:rFonts w:ascii="Arial" w:cs="Arial" w:eastAsia="Arial" w:hAnsi="Arial"/>
          <w:sz w:val="22"/>
          <w:szCs w:val="22"/>
        </w:rPr>
        <w:t xml:space="preserve">Index inclusion into Elemental Index 118. Passive funds must buy on rebalance — mechanical forced flow.</w:t>
      </w:r>
    </w:p>
    <w:p>
      <w:pPr>
        <w:spacing w:after="100" w:before="60"/>
      </w:pPr>
      <w:r>
        <w:rPr>
          <w:rFonts w:ascii="Arial" w:cs="Arial" w:eastAsia="Arial" w:hAnsi="Arial"/>
          <w:b/>
          <w:bCs/>
          <w:sz w:val="22"/>
          <w:szCs w:val="22"/>
        </w:rPr>
        <w:t xml:space="preserve">Crowd: </w:t>
      </w:r>
      <w:r>
        <w:rPr>
          <w:rFonts w:ascii="Arial" w:cs="Arial" w:eastAsia="Arial" w:hAnsi="Arial"/>
          <w:sz w:val="22"/>
          <w:szCs w:val="22"/>
        </w:rPr>
        <w:t xml:space="preserve">Low crowd competition (less flashy than consumer stories). 90% alpha retained.</w:t>
      </w:r>
    </w:p>
    <w:p>
      <w:pPr>
        <w:spacing w:after="100" w:before="60"/>
      </w:pPr>
      <w:r>
        <w:rPr>
          <w:rFonts w:ascii="Arial" w:cs="Arial" w:eastAsia="Arial" w:hAnsi="Arial"/>
          <w:b/>
          <w:bCs/>
          <w:sz w:val="22"/>
          <w:szCs w:val="22"/>
        </w:rPr>
        <w:t xml:space="preserve">Math: </w:t>
      </w:r>
      <w:r>
        <w:rPr>
          <w:rFonts w:ascii="Courier New" w:cs="Courier New" w:eastAsia="Courier New" w:hAnsi="Courier New"/>
          <w:sz w:val="20"/>
          <w:szCs w:val="20"/>
        </w:rPr>
        <w:t xml:space="preserve">V* = 50 × 27.0% = 13.50%  |  Fee = 13.50² × 100 = $18,225  |  Capital = $135,000</w:t>
      </w:r>
    </w:p>
    <w:p>
      <w:pPr>
        <w:pStyle w:val="Heading3"/>
        <w:spacing w:after="80" w:before="200"/>
      </w:pPr>
      <w:r>
        <w:rPr>
          <w:rFonts w:ascii="Arial" w:cs="Arial" w:eastAsia="Arial" w:hAnsi="Arial"/>
          <w:b/>
          <w:bCs/>
          <w:color w:val="0F3460"/>
          <w:sz w:val="22"/>
          <w:szCs w:val="22"/>
        </w:rPr>
        <w:t xml:space="preserve">Lava Cakes — SHORT 13.28%</w:t>
      </w:r>
    </w:p>
    <w:p>
      <w:pPr>
        <w:spacing w:after="100" w:before="60"/>
      </w:pPr>
      <w:r>
        <w:rPr>
          <w:rFonts w:ascii="Arial" w:cs="Arial" w:eastAsia="Arial" w:hAnsi="Arial"/>
          <w:b/>
          <w:bCs/>
          <w:sz w:val="22"/>
          <w:szCs w:val="22"/>
        </w:rPr>
        <w:t xml:space="preserve">Signal: </w:t>
      </w:r>
      <w:r>
        <w:rPr>
          <w:rFonts w:ascii="Arial" w:cs="Arial" w:eastAsia="Arial" w:hAnsi="Arial"/>
          <w:sz w:val="22"/>
          <w:szCs w:val="22"/>
        </w:rPr>
        <w:t xml:space="preserve">Actual lava found in food product. Health recall, civil lawsuits, suspended sales, vendors returning stock.</w:t>
      </w:r>
    </w:p>
    <w:p>
      <w:pPr>
        <w:spacing w:after="100" w:before="60"/>
      </w:pPr>
      <w:r>
        <w:rPr>
          <w:rFonts w:ascii="Arial" w:cs="Arial" w:eastAsia="Arial" w:hAnsi="Arial"/>
          <w:b/>
          <w:bCs/>
          <w:sz w:val="22"/>
          <w:szCs w:val="22"/>
        </w:rPr>
        <w:t xml:space="preserve">Crowd: </w:t>
      </w:r>
      <w:r>
        <w:rPr>
          <w:rFonts w:ascii="Arial" w:cs="Arial" w:eastAsia="Arial" w:hAnsi="Arial"/>
          <w:sz w:val="22"/>
          <w:szCs w:val="22"/>
        </w:rPr>
        <w:t xml:space="preserve">Partial crowd. Most people will see this. 83% alpha retained after dilution.</w:t>
      </w:r>
    </w:p>
    <w:p>
      <w:pPr>
        <w:spacing w:after="100" w:before="60"/>
      </w:pPr>
      <w:r>
        <w:rPr>
          <w:rFonts w:ascii="Arial" w:cs="Arial" w:eastAsia="Arial" w:hAnsi="Arial"/>
          <w:b/>
          <w:bCs/>
          <w:sz w:val="22"/>
          <w:szCs w:val="22"/>
        </w:rPr>
        <w:t xml:space="preserve">Math: </w:t>
      </w:r>
      <w:r>
        <w:rPr>
          <w:rFonts w:ascii="Courier New" w:cs="Courier New" w:eastAsia="Courier New" w:hAnsi="Courier New"/>
          <w:sz w:val="20"/>
          <w:szCs w:val="20"/>
        </w:rPr>
        <w:t xml:space="preserve">V* = 50 × 26.6% = 13.28%  |  Fee = 13.28² × 100 = $17,636  |  Capital = $132,800</w:t>
      </w:r>
    </w:p>
    <w:p>
      <w:pPr>
        <w:pStyle w:val="Heading3"/>
        <w:spacing w:after="80" w:before="200"/>
      </w:pPr>
      <w:r>
        <w:rPr>
          <w:rFonts w:ascii="Arial" w:cs="Arial" w:eastAsia="Arial" w:hAnsi="Arial"/>
          <w:b/>
          <w:bCs/>
          <w:color w:val="0F3460"/>
          <w:sz w:val="22"/>
          <w:szCs w:val="22"/>
        </w:rPr>
        <w:t xml:space="preserve">Thermalite Cores — LONG 10.92%</w:t>
      </w:r>
    </w:p>
    <w:p>
      <w:pPr>
        <w:spacing w:after="100" w:before="60"/>
      </w:pPr>
      <w:r>
        <w:rPr>
          <w:rFonts w:ascii="Arial" w:cs="Arial" w:eastAsia="Arial" w:hAnsi="Arial"/>
          <w:b/>
          <w:bCs/>
          <w:sz w:val="22"/>
          <w:szCs w:val="22"/>
        </w:rPr>
        <w:t xml:space="preserve">Signal: </w:t>
      </w:r>
      <w:r>
        <w:rPr>
          <w:rFonts w:ascii="Arial" w:cs="Arial" w:eastAsia="Arial" w:hAnsi="Arial"/>
          <w:sz w:val="22"/>
          <w:szCs w:val="22"/>
        </w:rPr>
        <w:t xml:space="preserve">1.42M → 3.89M unit growth (+174%) with hard quarterly forecast numbers. Activity 16→42 min/day.</w:t>
      </w:r>
    </w:p>
    <w:p>
      <w:pPr>
        <w:spacing w:after="100" w:before="60"/>
      </w:pPr>
      <w:r>
        <w:rPr>
          <w:rFonts w:ascii="Arial" w:cs="Arial" w:eastAsia="Arial" w:hAnsi="Arial"/>
          <w:b/>
          <w:bCs/>
          <w:sz w:val="22"/>
          <w:szCs w:val="22"/>
        </w:rPr>
        <w:t xml:space="preserve">Crowd: </w:t>
      </w:r>
      <w:r>
        <w:rPr>
          <w:rFonts w:ascii="Arial" w:cs="Arial" w:eastAsia="Arial" w:hAnsi="Arial"/>
          <w:sz w:val="22"/>
          <w:szCs w:val="22"/>
        </w:rPr>
        <w:t xml:space="preserve">Crowded — everyone reads this. 78% alpha retained.</w:t>
      </w:r>
    </w:p>
    <w:p>
      <w:pPr>
        <w:spacing w:after="100" w:before="60"/>
      </w:pPr>
      <w:r>
        <w:rPr>
          <w:rFonts w:ascii="Arial" w:cs="Arial" w:eastAsia="Arial" w:hAnsi="Arial"/>
          <w:b/>
          <w:bCs/>
          <w:sz w:val="22"/>
          <w:szCs w:val="22"/>
        </w:rPr>
        <w:t xml:space="preserve">Math: </w:t>
      </w:r>
      <w:r>
        <w:rPr>
          <w:rFonts w:ascii="Courier New" w:cs="Courier New" w:eastAsia="Courier New" w:hAnsi="Courier New"/>
          <w:sz w:val="20"/>
          <w:szCs w:val="20"/>
        </w:rPr>
        <w:t xml:space="preserve">V* = 50 × 21.8% = 10.92%  |  Fee = 10.92² × 100 = $11,925  |  Capital = $109,200</w:t>
      </w:r>
    </w:p>
    <w:p>
      <w:pPr>
        <w:pStyle w:val="Heading3"/>
        <w:spacing w:after="80" w:before="200"/>
      </w:pPr>
      <w:r>
        <w:rPr>
          <w:rFonts w:ascii="Arial" w:cs="Arial" w:eastAsia="Arial" w:hAnsi="Arial"/>
          <w:b/>
          <w:bCs/>
          <w:color w:val="0F3460"/>
          <w:sz w:val="22"/>
          <w:szCs w:val="22"/>
        </w:rPr>
        <w:t xml:space="preserve">Obsidian Cutlery — LONG 9.35%</w:t>
      </w:r>
    </w:p>
    <w:p>
      <w:pPr>
        <w:spacing w:after="100" w:before="60"/>
      </w:pPr>
      <w:r>
        <w:rPr>
          <w:rFonts w:ascii="Arial" w:cs="Arial" w:eastAsia="Arial" w:hAnsi="Arial"/>
          <w:b/>
          <w:bCs/>
          <w:sz w:val="22"/>
          <w:szCs w:val="22"/>
        </w:rPr>
        <w:t xml:space="preserve">Signal: </w:t>
      </w:r>
      <w:r>
        <w:rPr>
          <w:rFonts w:ascii="Arial" w:cs="Arial" w:eastAsia="Arial" w:hAnsi="Arial"/>
          <w:sz w:val="22"/>
          <w:szCs w:val="22"/>
        </w:rPr>
        <w:t xml:space="preserve">Factory equipment failure — NOT product contamination. New supply destroyed. Existing inventory scarcer.</w:t>
      </w:r>
    </w:p>
    <w:p>
      <w:pPr>
        <w:spacing w:after="100" w:before="60"/>
      </w:pPr>
      <w:r>
        <w:rPr>
          <w:rFonts w:ascii="Arial" w:cs="Arial" w:eastAsia="Arial" w:hAnsi="Arial"/>
          <w:b/>
          <w:bCs/>
          <w:sz w:val="22"/>
          <w:szCs w:val="22"/>
        </w:rPr>
        <w:t xml:space="preserve">Crowd: </w:t>
      </w:r>
      <w:r>
        <w:rPr>
          <w:rFonts w:ascii="Arial" w:cs="Arial" w:eastAsia="Arial" w:hAnsi="Arial"/>
          <w:sz w:val="22"/>
          <w:szCs w:val="22"/>
        </w:rPr>
        <w:t xml:space="preserve">Less obvious direction (many will skip or short). 85% alpha retained.</w:t>
      </w:r>
    </w:p>
    <w:p>
      <w:pPr>
        <w:spacing w:after="100" w:before="60"/>
      </w:pPr>
      <w:r>
        <w:rPr>
          <w:rFonts w:ascii="Arial" w:cs="Arial" w:eastAsia="Arial" w:hAnsi="Arial"/>
          <w:b/>
          <w:bCs/>
          <w:sz w:val="22"/>
          <w:szCs w:val="22"/>
        </w:rPr>
        <w:t xml:space="preserve">Math: </w:t>
      </w:r>
      <w:r>
        <w:rPr>
          <w:rFonts w:ascii="Courier New" w:cs="Courier New" w:eastAsia="Courier New" w:hAnsi="Courier New"/>
          <w:sz w:val="20"/>
          <w:szCs w:val="20"/>
        </w:rPr>
        <w:t xml:space="preserve">V* = 50 × 18.7% = 9.35%  |  Fee = 9.35² × 100 = $8,742  |  Capital = $93,500</w:t>
      </w:r>
    </w:p>
    <w:p>
      <w:pPr>
        <w:pStyle w:val="Heading3"/>
        <w:spacing w:after="80" w:before="200"/>
      </w:pPr>
      <w:r>
        <w:rPr>
          <w:rFonts w:ascii="Arial" w:cs="Arial" w:eastAsia="Arial" w:hAnsi="Arial"/>
          <w:b/>
          <w:bCs/>
          <w:color w:val="0F3460"/>
          <w:sz w:val="22"/>
          <w:szCs w:val="22"/>
        </w:rPr>
        <w:t xml:space="preserve">Pyroflex Cells — SHORT 8.20%</w:t>
      </w:r>
    </w:p>
    <w:p>
      <w:pPr>
        <w:spacing w:after="100" w:before="60"/>
      </w:pPr>
      <w:r>
        <w:rPr>
          <w:rFonts w:ascii="Arial" w:cs="Arial" w:eastAsia="Arial" w:hAnsi="Arial"/>
          <w:b/>
          <w:bCs/>
          <w:sz w:val="22"/>
          <w:szCs w:val="22"/>
        </w:rPr>
        <w:t xml:space="preserve">Signal: </w:t>
      </w:r>
      <w:r>
        <w:rPr>
          <w:rFonts w:ascii="Arial" w:cs="Arial" w:eastAsia="Arial" w:hAnsi="Arial"/>
          <w:sz w:val="22"/>
          <w:szCs w:val="22"/>
        </w:rPr>
        <w:t xml:space="preserve">50% tax cut ending tomorrow, effectively doubling levy overnight. Demand destruction guaranteed.</w:t>
      </w:r>
    </w:p>
    <w:p>
      <w:pPr>
        <w:spacing w:after="100" w:before="60"/>
      </w:pPr>
      <w:r>
        <w:rPr>
          <w:rFonts w:ascii="Arial" w:cs="Arial" w:eastAsia="Arial" w:hAnsi="Arial"/>
          <w:b/>
          <w:bCs/>
          <w:sz w:val="22"/>
          <w:szCs w:val="22"/>
        </w:rPr>
        <w:t xml:space="preserve">Crowd: </w:t>
      </w:r>
      <w:r>
        <w:rPr>
          <w:rFonts w:ascii="Arial" w:cs="Arial" w:eastAsia="Arial" w:hAnsi="Arial"/>
          <w:sz w:val="22"/>
          <w:szCs w:val="22"/>
        </w:rPr>
        <w:t xml:space="preserve">Policy signal. Moderate crowd. 82% alpha retained.</w:t>
      </w:r>
    </w:p>
    <w:p>
      <w:pPr>
        <w:spacing w:after="100" w:before="60"/>
      </w:pPr>
      <w:r>
        <w:rPr>
          <w:rFonts w:ascii="Arial" w:cs="Arial" w:eastAsia="Arial" w:hAnsi="Arial"/>
          <w:b/>
          <w:bCs/>
          <w:sz w:val="22"/>
          <w:szCs w:val="22"/>
        </w:rPr>
        <w:t xml:space="preserve">Math: </w:t>
      </w:r>
      <w:r>
        <w:rPr>
          <w:rFonts w:ascii="Courier New" w:cs="Courier New" w:eastAsia="Courier New" w:hAnsi="Courier New"/>
          <w:sz w:val="20"/>
          <w:szCs w:val="20"/>
        </w:rPr>
        <w:t xml:space="preserve">V* = 50 × 16.4% = 8.20%  |  Fee = 8.20² × 100 = $6,724  |  Capital = $82,000</w:t>
      </w:r>
    </w:p>
    <w:p>
      <w:pPr>
        <w:pStyle w:val="Heading3"/>
        <w:spacing w:after="80" w:before="200"/>
      </w:pPr>
      <w:r>
        <w:rPr>
          <w:rFonts w:ascii="Arial" w:cs="Arial" w:eastAsia="Arial" w:hAnsi="Arial"/>
          <w:b/>
          <w:bCs/>
          <w:color w:val="0F3460"/>
          <w:sz w:val="22"/>
          <w:szCs w:val="22"/>
        </w:rPr>
        <w:t xml:space="preserve">Lava Fountain Pen — LONG 4.80%</w:t>
      </w:r>
    </w:p>
    <w:p>
      <w:pPr>
        <w:spacing w:after="100" w:before="60"/>
      </w:pPr>
      <w:r>
        <w:rPr>
          <w:rFonts w:ascii="Arial" w:cs="Arial" w:eastAsia="Arial" w:hAnsi="Arial"/>
          <w:b/>
          <w:bCs/>
          <w:sz w:val="22"/>
          <w:szCs w:val="22"/>
        </w:rPr>
        <w:t xml:space="preserve">Signal: </w:t>
      </w:r>
      <w:r>
        <w:rPr>
          <w:rFonts w:ascii="Arial" w:cs="Arial" w:eastAsia="Arial" w:hAnsi="Arial"/>
          <w:sz w:val="22"/>
          <w:szCs w:val="22"/>
        </w:rPr>
        <w:t xml:space="preserve">6-hour queues, mass consumer event, hot drop marketing. Genuine demand but extremely crowded.</w:t>
      </w:r>
    </w:p>
    <w:p>
      <w:pPr>
        <w:spacing w:after="100" w:before="60"/>
      </w:pPr>
      <w:r>
        <w:rPr>
          <w:rFonts w:ascii="Arial" w:cs="Arial" w:eastAsia="Arial" w:hAnsi="Arial"/>
          <w:b/>
          <w:bCs/>
          <w:sz w:val="22"/>
          <w:szCs w:val="22"/>
        </w:rPr>
        <w:t xml:space="preserve">Crowd: </w:t>
      </w:r>
      <w:r>
        <w:rPr>
          <w:rFonts w:ascii="Arial" w:cs="Arial" w:eastAsia="Arial" w:hAnsi="Arial"/>
          <w:sz w:val="22"/>
          <w:szCs w:val="22"/>
        </w:rPr>
        <w:t xml:space="preserve">Most crowded trade. 60% alpha retained after heavy dilution.</w:t>
      </w:r>
    </w:p>
    <w:p>
      <w:pPr>
        <w:spacing w:after="100" w:before="60"/>
      </w:pPr>
      <w:r>
        <w:rPr>
          <w:rFonts w:ascii="Arial" w:cs="Arial" w:eastAsia="Arial" w:hAnsi="Arial"/>
          <w:b/>
          <w:bCs/>
          <w:sz w:val="22"/>
          <w:szCs w:val="22"/>
        </w:rPr>
        <w:t xml:space="preserve">Math: </w:t>
      </w:r>
      <w:r>
        <w:rPr>
          <w:rFonts w:ascii="Courier New" w:cs="Courier New" w:eastAsia="Courier New" w:hAnsi="Courier New"/>
          <w:sz w:val="20"/>
          <w:szCs w:val="20"/>
        </w:rPr>
        <w:t xml:space="preserve">V* = 50 × 9.6% = 4.80%  |  Fee = 4.80² × 100 = $2,304  |  Capital = $48,000</w:t>
      </w:r>
    </w:p>
    <w:p>
      <w:r>
        <w:br w:type="page"/>
      </w:r>
    </w:p>
    <w:p>
      <w:pPr>
        <w:pStyle w:val="Heading1"/>
        <w:spacing w:after="120" w:before="360"/>
      </w:pPr>
      <w:r>
        <w:rPr>
          <w:rFonts w:ascii="Arial" w:cs="Arial" w:eastAsia="Arial" w:hAnsi="Arial"/>
          <w:b/>
          <w:bCs/>
          <w:color w:val="1A1A2E"/>
          <w:sz w:val="32"/>
          <w:szCs w:val="32"/>
        </w:rPr>
        <w:t xml:space="preserve">6. Key Debates Resolved</w:t>
      </w:r>
    </w:p>
    <w:p>
      <w:pPr>
        <w:pStyle w:val="Heading2"/>
        <w:spacing w:after="100" w:before="280"/>
      </w:pPr>
      <w:r>
        <w:rPr>
          <w:rFonts w:ascii="Arial" w:cs="Arial" w:eastAsia="Arial" w:hAnsi="Arial"/>
          <w:b/>
          <w:bCs/>
          <w:color w:val="16213E"/>
          <w:sz w:val="26"/>
          <w:szCs w:val="26"/>
        </w:rPr>
        <w:t xml:space="preserve">6.1 Obsidian Cutlery: Long or Short?</w:t>
      </w:r>
    </w:p>
    <w:p>
      <w:pPr>
        <w:spacing w:after="100" w:before="60"/>
      </w:pPr>
      <w:r>
        <w:rPr>
          <w:rFonts w:ascii="Arial" w:cs="Arial" w:eastAsia="Arial" w:hAnsi="Arial"/>
          <w:sz w:val="22"/>
          <w:szCs w:val="22"/>
        </w:rPr>
        <w:t xml:space="preserve">This was the most contested signal across all analysis iterations. The debate centered on whether a factory accident is a supply shock (bullish for existing inventory) or a product safety event (bearish for demand).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9360"/>
            <w:gridSpan w:val="99"/>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Obsidian Cutlery Direction Debate</w:t>
            </w:r>
          </w:p>
        </w:tc>
      </w:tr>
      <w:tr>
        <w:tc>
          <w:tcPr>
            <w:tcW w:type="dxa" w:w="23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after="30" w:before="30"/>
              <w:jc w:val="left"/>
            </w:pPr>
            <w:r>
              <w:rPr>
                <w:rFonts w:ascii="Arial" w:cs="Arial" w:eastAsia="Arial" w:hAnsi="Arial"/>
                <w:b/>
                <w:bCs/>
                <w:color w:val="1A1A2E"/>
                <w:sz w:val="20"/>
                <w:szCs w:val="20"/>
              </w:rPr>
              <w:t xml:space="preserve">Iteration</w:t>
            </w:r>
          </w:p>
        </w:tc>
        <w:tc>
          <w:tcPr>
            <w:tcW w:type="dxa" w:w="351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after="30" w:before="30"/>
              <w:jc w:val="left"/>
            </w:pPr>
            <w:r>
              <w:rPr>
                <w:rFonts w:ascii="Arial" w:cs="Arial" w:eastAsia="Arial" w:hAnsi="Arial"/>
                <w:b/>
                <w:bCs/>
                <w:color w:val="1A1A2E"/>
                <w:sz w:val="20"/>
                <w:szCs w:val="20"/>
              </w:rPr>
              <w:t xml:space="preserve">Position</w:t>
            </w:r>
          </w:p>
        </w:tc>
        <w:tc>
          <w:tcPr>
            <w:tcW w:type="dxa" w:w="351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after="30" w:before="30"/>
              <w:jc w:val="left"/>
            </w:pPr>
            <w:r>
              <w:rPr>
                <w:rFonts w:ascii="Arial" w:cs="Arial" w:eastAsia="Arial" w:hAnsi="Arial"/>
                <w:b/>
                <w:bCs/>
                <w:color w:val="1A1A2E"/>
                <w:sz w:val="20"/>
                <w:szCs w:val="20"/>
              </w:rPr>
              <w:t xml:space="preserve">Reasoning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V1</w:t>
            </w:r>
          </w:p>
        </w:tc>
        <w:tc>
          <w:tcPr>
            <w:tcW w:type="dxa" w:w="351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spacing w:after="30" w:before="30"/>
              <w:jc w:val="left"/>
            </w:pPr>
            <w:r>
              <w:rPr>
                <w:rFonts w:ascii="Arial" w:cs="Arial" w:eastAsia="Arial" w:hAnsi="Arial"/>
                <w:b w:val="false"/>
                <w:bCs w:val="false"/>
                <w:color w:val="A32D2D"/>
                <w:sz w:val="20"/>
                <w:szCs w:val="20"/>
              </w:rPr>
              <w:t xml:space="preserve">SHORT 12%</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Contamination event → bad for product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V2</w:t>
            </w:r>
          </w:p>
        </w:tc>
        <w:tc>
          <w:tcPr>
            <w:tcW w:type="dxa" w:w="351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30" w:before="30"/>
              <w:jc w:val="left"/>
            </w:pPr>
            <w:r>
              <w:rPr>
                <w:rFonts w:ascii="Arial" w:cs="Arial" w:eastAsia="Arial" w:hAnsi="Arial"/>
                <w:b w:val="false"/>
                <w:bCs w:val="false"/>
                <w:color w:val="888888"/>
                <w:sz w:val="20"/>
                <w:szCs w:val="20"/>
              </w:rPr>
              <w:t xml:space="preserve">SKIP (removed)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Ambiguous — direction uncertain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Final</w:t>
            </w:r>
          </w:p>
        </w:tc>
        <w:tc>
          <w:tcPr>
            <w:tcW w:type="dxa" w:w="351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spacing w:after="30" w:before="30"/>
              <w:jc w:val="left"/>
            </w:pPr>
            <w:r>
              <w:rPr>
                <w:rFonts w:ascii="Arial" w:cs="Arial" w:eastAsia="Arial" w:hAnsi="Arial"/>
                <w:b w:val="false"/>
                <w:bCs w:val="false"/>
                <w:color w:val="1B7340"/>
                <w:sz w:val="20"/>
                <w:szCs w:val="20"/>
              </w:rPr>
              <w:t xml:space="preserve">LONG 9.35%</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Factory equipment failure ≠ product contamination. Supply shock → price rises.</w:t>
            </w:r>
          </w:p>
        </w:tc>
      </w:tr>
    </w:tbl>
    <w:p>
      <w:pPr>
        <w:spacing w:after="0" w:before="100"/>
      </w:pPr>
    </w:p>
    <w:p>
      <w:pPr>
        <w:spacing w:after="100" w:before="60"/>
      </w:pPr>
      <w:r>
        <w:rPr>
          <w:rFonts w:ascii="Arial" w:cs="Arial" w:eastAsia="Arial" w:hAnsi="Arial"/>
          <w:b/>
          <w:bCs/>
          <w:sz w:val="22"/>
          <w:szCs w:val="22"/>
        </w:rPr>
        <w:t xml:space="preserve">Final verdict: </w:t>
      </w:r>
      <w:r>
        <w:rPr>
          <w:rFonts w:ascii="Arial" w:cs="Arial" w:eastAsia="Arial" w:hAnsi="Arial"/>
          <w:sz w:val="22"/>
          <w:szCs w:val="22"/>
        </w:rPr>
        <w:t xml:space="preserve">The article states 'completed blades sliced through the chemical assembly line.' The blades (product) damaged the machinery — not the reverse. Existing cutlery is not contaminated; new production is impossible. This is a textbook supply shock. Long.</w:t>
      </w:r>
    </w:p>
    <w:p>
      <w:pPr>
        <w:pStyle w:val="Heading2"/>
        <w:spacing w:after="100" w:before="280"/>
      </w:pPr>
      <w:r>
        <w:rPr>
          <w:rFonts w:ascii="Arial" w:cs="Arial" w:eastAsia="Arial" w:hAnsi="Arial"/>
          <w:b/>
          <w:bCs/>
          <w:color w:val="16213E"/>
          <w:sz w:val="26"/>
          <w:szCs w:val="26"/>
        </w:rPr>
        <w:t xml:space="preserve">6.2 Unit Framework: Fractional Return vs Absolute SeaShells</w:t>
      </w:r>
    </w:p>
    <w:p>
      <w:pPr>
        <w:spacing w:after="100" w:before="60"/>
      </w:pPr>
      <w:r>
        <w:rPr>
          <w:rFonts w:ascii="Arial" w:cs="Arial" w:eastAsia="Arial" w:hAnsi="Arial"/>
          <w:sz w:val="22"/>
          <w:szCs w:val="22"/>
        </w:rPr>
        <w:t xml:space="preserve">One critique argued that μᵢ should be absolute price changes in SeaShells, implying V*ᵢ = 5000 × ΔP and the budget always binds at 100%. Resolution:</w:t>
      </w:r>
    </w:p>
    <w:p>
      <w:pPr>
        <w:pStyle w:val="ListParagraph"/>
        <w:numPr>
          <w:ilvl w:val="0"/>
          <w:numId w:val="2"/>
        </w:numPr>
        <w:spacing w:after="40" w:before="40"/>
      </w:pPr>
      <w:r>
        <w:rPr>
          <w:rFonts w:ascii="Arial" w:cs="Arial" w:eastAsia="Arial" w:hAnsi="Arial"/>
          <w:sz w:val="22"/>
          <w:szCs w:val="22"/>
        </w:rPr>
        <w:t xml:space="preserve">The fee formula explicitly uses V as a budget percentage: fee = (V/100)² × 1,000,000</w:t>
      </w:r>
    </w:p>
    <w:p>
      <w:pPr>
        <w:pStyle w:val="ListParagraph"/>
        <w:numPr>
          <w:ilvl w:val="0"/>
          <w:numId w:val="2"/>
        </w:numPr>
        <w:spacing w:after="40" w:before="40"/>
      </w:pPr>
      <w:r>
        <w:rPr>
          <w:rFonts w:ascii="Arial" w:cs="Arial" w:eastAsia="Arial" w:hAnsi="Arial"/>
          <w:sz w:val="22"/>
          <w:szCs w:val="22"/>
        </w:rPr>
        <w:t xml:space="preserve">This makes the problem naturally scaled in percentage terms, with μᵢ as fractional return</w:t>
      </w:r>
    </w:p>
    <w:p>
      <w:pPr>
        <w:pStyle w:val="ListParagraph"/>
        <w:numPr>
          <w:ilvl w:val="0"/>
          <w:numId w:val="2"/>
        </w:numPr>
        <w:spacing w:after="40" w:before="40"/>
      </w:pPr>
      <w:r>
        <w:rPr>
          <w:rFonts w:ascii="Arial" w:cs="Arial" w:eastAsia="Arial" w:hAnsi="Arial"/>
          <w:sz w:val="22"/>
          <w:szCs w:val="22"/>
        </w:rPr>
        <w:t xml:space="preserve">The absolute-SeaShell formulation would apply to a different problem structure where raw unit volumes are traded</w:t>
      </w:r>
    </w:p>
    <w:p>
      <w:pPr>
        <w:pStyle w:val="ListParagraph"/>
        <w:numPr>
          <w:ilvl w:val="0"/>
          <w:numId w:val="2"/>
        </w:numPr>
        <w:spacing w:after="40" w:before="40"/>
      </w:pPr>
      <w:r>
        <w:rPr>
          <w:rFonts w:ascii="Arial" w:cs="Arial" w:eastAsia="Arial" w:hAnsi="Arial"/>
          <w:sz w:val="22"/>
          <w:szCs w:val="22"/>
        </w:rPr>
        <w:t xml:space="preserve">However, with realistic news-event returns of 20-30%, the unconstrained sum does approach 100%, partially validating the practical conclusion that most of the budget gets used</w:t>
      </w:r>
    </w:p>
    <w:p>
      <w:pPr>
        <w:pStyle w:val="Heading2"/>
        <w:spacing w:after="100" w:before="280"/>
      </w:pPr>
      <w:r>
        <w:rPr>
          <w:rFonts w:ascii="Arial" w:cs="Arial" w:eastAsia="Arial" w:hAnsi="Arial"/>
          <w:b/>
          <w:bCs/>
          <w:color w:val="16213E"/>
          <w:sz w:val="26"/>
          <w:szCs w:val="26"/>
        </w:rPr>
        <w:t xml:space="preserve">6.3 Optimal Budget Utilization</w:t>
      </w:r>
    </w:p>
    <w:p>
      <w:pPr>
        <w:spacing w:after="100" w:before="60"/>
      </w:pPr>
      <w:r>
        <w:rPr>
          <w:rFonts w:ascii="Arial" w:cs="Arial" w:eastAsia="Arial" w:hAnsi="Arial"/>
          <w:sz w:val="22"/>
          <w:szCs w:val="22"/>
        </w:rPr>
        <w:t xml:space="preserve">Three different conclusions emerged across iterations: 89% (V1, arbitrary), 35.5% (V2, conservative μ), and 60.05% (Final, calibrated μ). The correct answer is that budget utilization is an output of the optimization, not an input:</w:t>
      </w:r>
    </w:p>
    <w:p>
      <w:pPr>
        <w:pStyle w:val="ListParagraph"/>
        <w:numPr>
          <w:ilvl w:val="0"/>
          <w:numId w:val="2"/>
        </w:numPr>
        <w:spacing w:after="40" w:before="40"/>
      </w:pPr>
      <w:r>
        <w:rPr>
          <w:rFonts w:ascii="Arial" w:cs="Arial" w:eastAsia="Arial" w:hAnsi="Arial"/>
          <w:sz w:val="22"/>
          <w:szCs w:val="22"/>
        </w:rPr>
        <w:t xml:space="preserve">If unconstrained sum &lt; 100%: use that exact amount (do not force to 100%)</w:t>
      </w:r>
    </w:p>
    <w:p>
      <w:pPr>
        <w:pStyle w:val="ListParagraph"/>
        <w:numPr>
          <w:ilvl w:val="0"/>
          <w:numId w:val="2"/>
        </w:numPr>
        <w:spacing w:after="40" w:before="40"/>
      </w:pPr>
      <w:r>
        <w:rPr>
          <w:rFonts w:ascii="Arial" w:cs="Arial" w:eastAsia="Arial" w:hAnsi="Arial"/>
          <w:sz w:val="22"/>
          <w:szCs w:val="22"/>
        </w:rPr>
        <w:t xml:space="preserve">If unconstrained sum &gt; 100%: apply Lagrange multiplier to scale down to 100%</w:t>
      </w:r>
    </w:p>
    <w:p>
      <w:pPr>
        <w:pStyle w:val="ListParagraph"/>
        <w:numPr>
          <w:ilvl w:val="0"/>
          <w:numId w:val="2"/>
        </w:numPr>
        <w:spacing w:after="40" w:before="40"/>
      </w:pPr>
      <w:r>
        <w:rPr>
          <w:rFonts w:ascii="Arial" w:cs="Arial" w:eastAsia="Arial" w:hAnsi="Arial"/>
          <w:sz w:val="22"/>
          <w:szCs w:val="22"/>
        </w:rPr>
        <w:t xml:space="preserve">The '30-50% is always optimal' heuristic from past rounds is an empirical pattern, not a mathematical law — it emerges from typical signal magnitudes in those rounds</w:t>
      </w:r>
    </w:p>
    <w:p>
      <w:pPr>
        <w:pStyle w:val="Heading2"/>
        <w:spacing w:after="100" w:before="280"/>
      </w:pPr>
      <w:r>
        <w:rPr>
          <w:rFonts w:ascii="Arial" w:cs="Arial" w:eastAsia="Arial" w:hAnsi="Arial"/>
          <w:b/>
          <w:bCs/>
          <w:color w:val="16213E"/>
          <w:sz w:val="26"/>
          <w:szCs w:val="26"/>
        </w:rPr>
        <w:t xml:space="preserve">6.4 Influencer Plays: Long, Short, or Skip?</w:t>
      </w:r>
    </w:p>
    <w:p>
      <w:pPr>
        <w:spacing w:after="100" w:before="60"/>
      </w:pPr>
      <w:r>
        <w:rPr>
          <w:rFonts w:ascii="Arial" w:cs="Arial" w:eastAsia="Arial" w:hAnsi="Arial"/>
          <w:sz w:val="22"/>
          <w:szCs w:val="22"/>
        </w:rPr>
        <w:t xml:space="preserve">Scoria Paste (Lava D. Ray) and Volcanic Incense (Whiff Nostralico) generated debate. Gemini argued short Volcanic (mean reversion); another view argued long Scoria (genuine demand). Final resolution: skip both.</w:t>
      </w:r>
    </w:p>
    <w:p>
      <w:pPr>
        <w:pStyle w:val="ListParagraph"/>
        <w:numPr>
          <w:ilvl w:val="0"/>
          <w:numId w:val="2"/>
        </w:numPr>
        <w:spacing w:after="40" w:before="40"/>
      </w:pPr>
      <w:r>
        <w:rPr>
          <w:rFonts w:ascii="Arial" w:cs="Arial" w:eastAsia="Arial" w:hAnsi="Arial"/>
          <w:sz w:val="22"/>
          <w:szCs w:val="22"/>
        </w:rPr>
        <w:t xml:space="preserve">Crowd retention on influencer-driven assets is extremely low (25-35%)</w:t>
      </w:r>
    </w:p>
    <w:p>
      <w:pPr>
        <w:pStyle w:val="ListParagraph"/>
        <w:numPr>
          <w:ilvl w:val="0"/>
          <w:numId w:val="2"/>
        </w:numPr>
        <w:spacing w:after="40" w:before="40"/>
      </w:pPr>
      <w:r>
        <w:rPr>
          <w:rFonts w:ascii="Arial" w:cs="Arial" w:eastAsia="Arial" w:hAnsi="Arial"/>
          <w:sz w:val="22"/>
          <w:szCs w:val="22"/>
        </w:rPr>
        <w:t xml:space="preserve">Adj alpha after crowd discount is near zero — insufficient to clear the quadratic fee threshold</w:t>
      </w:r>
    </w:p>
    <w:p>
      <w:pPr>
        <w:pStyle w:val="ListParagraph"/>
        <w:numPr>
          <w:ilvl w:val="0"/>
          <w:numId w:val="2"/>
        </w:numPr>
        <w:spacing w:after="40" w:before="40"/>
      </w:pPr>
      <w:r>
        <w:rPr>
          <w:rFonts w:ascii="Arial" w:cs="Arial" w:eastAsia="Arial" w:hAnsi="Arial"/>
          <w:sz w:val="22"/>
          <w:szCs w:val="22"/>
        </w:rPr>
        <w:t xml:space="preserve">Shorting an influencer pump requires knowing the return range anchor is positive, which we cannot determine</w:t>
      </w:r>
    </w:p>
    <w:p>
      <w:pPr>
        <w:pStyle w:val="ListParagraph"/>
        <w:numPr>
          <w:ilvl w:val="0"/>
          <w:numId w:val="2"/>
        </w:numPr>
        <w:spacing w:after="40" w:before="40"/>
      </w:pPr>
      <w:r>
        <w:rPr>
          <w:rFonts w:ascii="Arial" w:cs="Arial" w:eastAsia="Arial" w:hAnsi="Arial"/>
          <w:sz w:val="22"/>
          <w:szCs w:val="22"/>
        </w:rPr>
        <w:t xml:space="preserve">Expected value of both is essentially zero net of fees — skip is the correct answer</w:t>
      </w:r>
    </w:p>
    <w:p>
      <w:r>
        <w:br w:type="page"/>
      </w:r>
    </w:p>
    <w:p>
      <w:pPr>
        <w:pStyle w:val="Heading1"/>
        <w:spacing w:after="120" w:before="360"/>
      </w:pPr>
      <w:r>
        <w:rPr>
          <w:rFonts w:ascii="Arial" w:cs="Arial" w:eastAsia="Arial" w:hAnsi="Arial"/>
          <w:b/>
          <w:bCs/>
          <w:color w:val="1A1A2E"/>
          <w:sz w:val="32"/>
          <w:szCs w:val="32"/>
        </w:rPr>
        <w:t xml:space="preserve">7. Final Numbers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99"/>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Portfolio Statistics</w:t>
            </w:r>
          </w:p>
        </w:tc>
      </w:tr>
      <w:tr>
        <w:tc>
          <w:tcPr>
            <w:tcW w:type="dxa" w:w="468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after="30" w:before="30"/>
              <w:jc w:val="left"/>
            </w:pPr>
            <w:r>
              <w:rPr>
                <w:rFonts w:ascii="Arial" w:cs="Arial" w:eastAsia="Arial" w:hAnsi="Arial"/>
                <w:b/>
                <w:bCs/>
                <w:color w:val="1A1A2E"/>
                <w:sz w:val="20"/>
                <w:szCs w:val="20"/>
              </w:rPr>
              <w:t xml:space="preserve">Metric</w:t>
            </w:r>
          </w:p>
        </w:tc>
        <w:tc>
          <w:tcPr>
            <w:tcW w:type="dxa" w:w="468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after="30" w:before="30"/>
              <w:jc w:val="left"/>
            </w:pPr>
            <w:r>
              <w:rPr>
                <w:rFonts w:ascii="Arial" w:cs="Arial" w:eastAsia="Arial" w:hAnsi="Arial"/>
                <w:b/>
                <w:bCs/>
                <w:color w:val="1A1A2E"/>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Total budget used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bCs/>
                <w:color w:val="1A1A2E"/>
                <w:sz w:val="20"/>
                <w:szCs w:val="20"/>
              </w:rPr>
              <w:t xml:space="preserve">60.05%  ($600,500)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Budget unused (expires worthless)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39.95%  ($399,500)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Total fees paid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bCs/>
                <w:color w:val="A32D2D"/>
                <w:sz w:val="20"/>
                <w:szCs w:val="20"/>
              </w:rPr>
              <w:t xml:space="preserve">$65,556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Fee as % of deployed capital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10.9%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Estimated gross PnL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bCs/>
                <w:color w:val="1B7340"/>
                <w:sz w:val="20"/>
                <w:szCs w:val="20"/>
              </w:rPr>
              <w:t xml:space="preserve">$131,111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Estimated net PnL (after fees)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bCs/>
                <w:color w:val="1B7340"/>
                <w:sz w:val="20"/>
                <w:szCs w:val="20"/>
              </w:rPr>
              <w:t xml:space="preserve">$65,556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Active positions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6 (3 Long, 2 Short, 1 Long)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Tier 1 positions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3 (Sulfur Reactor, Lava Cakes, Thermalite)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Tier 2 positions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3 (Obsidian, Pyroflex, Lava Pen)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Positions skipped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4 (Magma Ink, Ashes, Scoria, Volcanic Incense)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Optimization method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Unconstrained Lagrangian (budget non-binding)</w:t>
            </w:r>
          </w:p>
        </w:tc>
      </w:tr>
    </w:tbl>
    <w:p>
      <w:pPr>
        <w:spacing w:after="0" w:before="200"/>
      </w:pPr>
    </w:p>
    <w:p>
      <w:pPr>
        <w:pStyle w:val="Heading2"/>
        <w:spacing w:after="100" w:before="280"/>
      </w:pPr>
      <w:r>
        <w:rPr>
          <w:rFonts w:ascii="Arial" w:cs="Arial" w:eastAsia="Arial" w:hAnsi="Arial"/>
          <w:b/>
          <w:bCs/>
          <w:color w:val="16213E"/>
          <w:sz w:val="26"/>
          <w:szCs w:val="26"/>
        </w:rPr>
        <w:t xml:space="preserve">7.1 One-Line Submission Reference</w:t>
      </w:r>
    </w:p>
    <w:p>
      <w:pPr>
        <w:shd w:fill="1A1A2E" w:val="clea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780"/>
        <w:gridCol w:w="1560"/>
        <w:gridCol w:w="390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30" w:before="30"/>
              <w:jc w:val="left"/>
            </w:pPr>
            <w:r>
              <w:rPr>
                <w:rFonts w:ascii="Arial" w:cs="Arial" w:eastAsia="Arial" w:hAnsi="Arial"/>
                <w:b/>
                <w:bCs/>
                <w:color w:val="FFFFFF"/>
                <w:sz w:val="20"/>
                <w:szCs w:val="20"/>
              </w:rPr>
              <w:t xml:space="preserve">Asset</w:t>
            </w:r>
          </w:p>
        </w:tc>
        <w:tc>
          <w:tcPr>
            <w:tcW w:type="dxa" w:w="7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30" w:before="30"/>
              <w:jc w:val="left"/>
            </w:pPr>
            <w:r>
              <w:rPr>
                <w:rFonts w:ascii="Arial" w:cs="Arial" w:eastAsia="Arial" w:hAnsi="Arial"/>
                <w:b/>
                <w:bCs/>
                <w:color w:val="FFFFFF"/>
                <w:sz w:val="20"/>
                <w:szCs w:val="20"/>
              </w:rPr>
              <w:t xml:space="preserve">Buy/Sell</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30" w:before="30"/>
              <w:jc w:val="left"/>
            </w:pPr>
            <w:r>
              <w:rPr>
                <w:rFonts w:ascii="Arial" w:cs="Arial" w:eastAsia="Arial" w:hAnsi="Arial"/>
                <w:b/>
                <w:bCs/>
                <w:color w:val="FFFFFF"/>
                <w:sz w:val="20"/>
                <w:szCs w:val="20"/>
              </w:rPr>
              <w:t xml:space="preserve">% of Budget</w:t>
            </w:r>
          </w:p>
        </w:tc>
        <w:tc>
          <w:tcPr>
            <w:tcW w:type="dxa" w:w="3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30" w:before="30"/>
              <w:jc w:val="left"/>
            </w:pPr>
            <w:r>
              <w:rPr>
                <w:rFonts w:ascii="Arial" w:cs="Arial" w:eastAsia="Arial" w:hAnsi="Arial"/>
                <w:b/>
                <w:bCs/>
                <w:color w:val="FFFFFF"/>
                <w:sz w:val="20"/>
                <w:szCs w:val="20"/>
              </w:rPr>
              <w:t xml:space="preserve">Key Reason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bCs/>
                <w:color w:val="1A1A2E"/>
                <w:sz w:val="20"/>
                <w:szCs w:val="20"/>
              </w:rPr>
              <w:t xml:space="preserve">Sulfur Reactor</w:t>
            </w:r>
          </w:p>
        </w:tc>
        <w:tc>
          <w:tcPr>
            <w:tcW w:type="dxa" w:w="7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spacing w:after="30" w:before="30"/>
              <w:jc w:val="center"/>
            </w:pPr>
            <w:r>
              <w:rPr>
                <w:rFonts w:ascii="Arial" w:cs="Arial" w:eastAsia="Arial" w:hAnsi="Arial"/>
                <w:b/>
                <w:bCs/>
                <w:color w:val="1B7340"/>
                <w:sz w:val="20"/>
                <w:szCs w:val="20"/>
              </w:rPr>
              <w:t xml:space="preserve">BUY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center"/>
            </w:pPr>
            <w:r>
              <w:rPr>
                <w:rFonts w:ascii="Arial" w:cs="Arial" w:eastAsia="Arial" w:hAnsi="Arial"/>
                <w:b/>
                <w:bCs/>
                <w:color w:val="1A1A2E"/>
                <w:sz w:val="20"/>
                <w:szCs w:val="20"/>
              </w:rPr>
              <w:t xml:space="preserve">13.50%</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Index inclusion — mechanical forced buy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bCs/>
                <w:color w:val="1A1A2E"/>
                <w:sz w:val="20"/>
                <w:szCs w:val="20"/>
              </w:rPr>
              <w:t xml:space="preserve">Lava Cakes</w:t>
            </w:r>
          </w:p>
        </w:tc>
        <w:tc>
          <w:tcPr>
            <w:tcW w:type="dxa" w:w="78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spacing w:after="30" w:before="30"/>
              <w:jc w:val="center"/>
            </w:pPr>
            <w:r>
              <w:rPr>
                <w:rFonts w:ascii="Arial" w:cs="Arial" w:eastAsia="Arial" w:hAnsi="Arial"/>
                <w:b/>
                <w:bCs/>
                <w:color w:val="A32D2D"/>
                <w:sz w:val="20"/>
                <w:szCs w:val="20"/>
              </w:rPr>
              <w:t xml:space="preserve">SELL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center"/>
            </w:pPr>
            <w:r>
              <w:rPr>
                <w:rFonts w:ascii="Arial" w:cs="Arial" w:eastAsia="Arial" w:hAnsi="Arial"/>
                <w:b/>
                <w:bCs/>
                <w:color w:val="1A1A2E"/>
                <w:sz w:val="20"/>
                <w:szCs w:val="20"/>
              </w:rPr>
              <w:t xml:space="preserve">13.28%</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Actual lava in food — health recall + lawsuits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bCs/>
                <w:color w:val="1A1A2E"/>
                <w:sz w:val="20"/>
                <w:szCs w:val="20"/>
              </w:rPr>
              <w:t xml:space="preserve">Thermalite Cores</w:t>
            </w:r>
          </w:p>
        </w:tc>
        <w:tc>
          <w:tcPr>
            <w:tcW w:type="dxa" w:w="7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spacing w:after="30" w:before="30"/>
              <w:jc w:val="center"/>
            </w:pPr>
            <w:r>
              <w:rPr>
                <w:rFonts w:ascii="Arial" w:cs="Arial" w:eastAsia="Arial" w:hAnsi="Arial"/>
                <w:b/>
                <w:bCs/>
                <w:color w:val="1B7340"/>
                <w:sz w:val="20"/>
                <w:szCs w:val="20"/>
              </w:rPr>
              <w:t xml:space="preserve">BUY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center"/>
            </w:pPr>
            <w:r>
              <w:rPr>
                <w:rFonts w:ascii="Arial" w:cs="Arial" w:eastAsia="Arial" w:hAnsi="Arial"/>
                <w:b/>
                <w:bCs/>
                <w:color w:val="1A1A2E"/>
                <w:sz w:val="20"/>
                <w:szCs w:val="20"/>
              </w:rPr>
              <w:t xml:space="preserve">10.92%</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+174% unit growth, hard quarterly forecast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bCs/>
                <w:color w:val="1A1A2E"/>
                <w:sz w:val="20"/>
                <w:szCs w:val="20"/>
              </w:rPr>
              <w:t xml:space="preserve">Obsidian Cutlery</w:t>
            </w:r>
          </w:p>
        </w:tc>
        <w:tc>
          <w:tcPr>
            <w:tcW w:type="dxa" w:w="7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spacing w:after="30" w:before="30"/>
              <w:jc w:val="center"/>
            </w:pPr>
            <w:r>
              <w:rPr>
                <w:rFonts w:ascii="Arial" w:cs="Arial" w:eastAsia="Arial" w:hAnsi="Arial"/>
                <w:b/>
                <w:bCs/>
                <w:color w:val="1B7340"/>
                <w:sz w:val="20"/>
                <w:szCs w:val="20"/>
              </w:rPr>
              <w:t xml:space="preserve">BUY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center"/>
            </w:pPr>
            <w:r>
              <w:rPr>
                <w:rFonts w:ascii="Arial" w:cs="Arial" w:eastAsia="Arial" w:hAnsi="Arial"/>
                <w:b/>
                <w:bCs/>
                <w:color w:val="1A1A2E"/>
                <w:sz w:val="20"/>
                <w:szCs w:val="20"/>
              </w:rPr>
              <w:t xml:space="preserve">9.35%</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Supply shock — factory halt, not product recall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bCs/>
                <w:color w:val="1A1A2E"/>
                <w:sz w:val="20"/>
                <w:szCs w:val="20"/>
              </w:rPr>
              <w:t xml:space="preserve">Pyroflex Cells</w:t>
            </w:r>
          </w:p>
        </w:tc>
        <w:tc>
          <w:tcPr>
            <w:tcW w:type="dxa" w:w="78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spacing w:after="30" w:before="30"/>
              <w:jc w:val="center"/>
            </w:pPr>
            <w:r>
              <w:rPr>
                <w:rFonts w:ascii="Arial" w:cs="Arial" w:eastAsia="Arial" w:hAnsi="Arial"/>
                <w:b/>
                <w:bCs/>
                <w:color w:val="A32D2D"/>
                <w:sz w:val="20"/>
                <w:szCs w:val="20"/>
              </w:rPr>
              <w:t xml:space="preserve">SELL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center"/>
            </w:pPr>
            <w:r>
              <w:rPr>
                <w:rFonts w:ascii="Arial" w:cs="Arial" w:eastAsia="Arial" w:hAnsi="Arial"/>
                <w:b/>
                <w:bCs/>
                <w:color w:val="1A1A2E"/>
                <w:sz w:val="20"/>
                <w:szCs w:val="20"/>
              </w:rPr>
              <w:t xml:space="preserve">8.20%</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Tax cut ends tomorrow — demand destruction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bCs/>
                <w:color w:val="1A1A2E"/>
                <w:sz w:val="20"/>
                <w:szCs w:val="20"/>
              </w:rPr>
              <w:t xml:space="preserve">Lava Fountain Pen</w:t>
            </w:r>
          </w:p>
        </w:tc>
        <w:tc>
          <w:tcPr>
            <w:tcW w:type="dxa" w:w="7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spacing w:after="30" w:before="30"/>
              <w:jc w:val="center"/>
            </w:pPr>
            <w:r>
              <w:rPr>
                <w:rFonts w:ascii="Arial" w:cs="Arial" w:eastAsia="Arial" w:hAnsi="Arial"/>
                <w:b/>
                <w:bCs/>
                <w:color w:val="1B7340"/>
                <w:sz w:val="20"/>
                <w:szCs w:val="20"/>
              </w:rPr>
              <w:t xml:space="preserve">BUY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center"/>
            </w:pPr>
            <w:r>
              <w:rPr>
                <w:rFonts w:ascii="Arial" w:cs="Arial" w:eastAsia="Arial" w:hAnsi="Arial"/>
                <w:b/>
                <w:bCs/>
                <w:color w:val="1A1A2E"/>
                <w:sz w:val="20"/>
                <w:szCs w:val="20"/>
              </w:rPr>
              <w:t xml:space="preserve">4.80%</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Genuine demand — small due to crowd dilution</w:t>
            </w:r>
          </w:p>
        </w:tc>
      </w:tr>
      <w:tr>
        <w:tc>
          <w:tcPr>
            <w:tcW w:type="dxa" w:w="312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pPr>
              <w:spacing w:after="30" w:before="30"/>
              <w:jc w:val="left"/>
            </w:pPr>
            <w:r>
              <w:rPr>
                <w:rFonts w:ascii="Arial" w:cs="Arial" w:eastAsia="Arial" w:hAnsi="Arial"/>
                <w:b w:val="false"/>
                <w:bCs w:val="false"/>
                <w:color w:val="888888"/>
                <w:sz w:val="20"/>
                <w:szCs w:val="20"/>
              </w:rPr>
              <w:t xml:space="preserve">All Others</w:t>
            </w:r>
          </w:p>
        </w:tc>
        <w:tc>
          <w:tcPr>
            <w:tcW w:type="dxa" w:w="78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pPr>
              <w:spacing w:after="30" w:before="30"/>
              <w:jc w:val="center"/>
            </w:pPr>
            <w:r>
              <w:rPr>
                <w:rFonts w:ascii="Arial" w:cs="Arial" w:eastAsia="Arial" w:hAnsi="Arial"/>
                <w:b w:val="false"/>
                <w:bCs w:val="false"/>
                <w:color w:val="888888"/>
                <w:sz w:val="20"/>
                <w:szCs w:val="20"/>
              </w:rPr>
              <w:t xml:space="preserve">SKIP</w:t>
            </w:r>
          </w:p>
        </w:tc>
        <w:tc>
          <w:tcPr>
            <w:tcW w:type="dxa" w:w="15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pPr>
              <w:spacing w:after="30" w:before="30"/>
              <w:jc w:val="center"/>
            </w:pPr>
            <w:r>
              <w:rPr>
                <w:rFonts w:ascii="Arial" w:cs="Arial" w:eastAsia="Arial" w:hAnsi="Arial"/>
                <w:b w:val="false"/>
                <w:bCs w:val="false"/>
                <w:color w:val="888888"/>
                <w:sz w:val="20"/>
                <w:szCs w:val="20"/>
              </w:rPr>
              <w:t xml:space="preserve">0%</w:t>
            </w:r>
          </w:p>
        </w:tc>
        <w:tc>
          <w:tcPr>
            <w:tcW w:type="dxa" w:w="39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pPr>
              <w:spacing w:after="30" w:before="30"/>
              <w:jc w:val="left"/>
            </w:pPr>
            <w:r>
              <w:rPr>
                <w:rFonts w:ascii="Arial" w:cs="Arial" w:eastAsia="Arial" w:hAnsi="Arial"/>
                <w:b w:val="false"/>
                <w:bCs w:val="false"/>
                <w:color w:val="888888"/>
                <w:sz w:val="20"/>
                <w:szCs w:val="20"/>
              </w:rPr>
              <w:t xml:space="preserve">Adj alpha insufficient after crowd discount</w:t>
            </w:r>
          </w:p>
        </w:tc>
      </w:tr>
      <w:tr>
        <w:tc>
          <w:tcPr>
            <w:tcW w:type="dxa" w:w="31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after="30" w:before="30"/>
              <w:jc w:val="left"/>
            </w:pPr>
            <w:r>
              <w:rPr>
                <w:rFonts w:ascii="Arial" w:cs="Arial" w:eastAsia="Arial" w:hAnsi="Arial"/>
                <w:b/>
                <w:bCs/>
                <w:color w:val="1A1A2E"/>
                <w:sz w:val="20"/>
                <w:szCs w:val="20"/>
              </w:rPr>
              <w:t xml:space="preserve">TOTAL</w:t>
            </w:r>
          </w:p>
        </w:tc>
        <w:tc>
          <w:tcPr>
            <w:tcW w:type="dxa" w:w="78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after="30" w:before="30"/>
              <w:jc w:val="left"/>
            </w:pPr>
            <w:r>
              <w:rPr>
                <w:rFonts w:ascii="Arial" w:cs="Arial" w:eastAsia="Arial" w:hAnsi="Arial"/>
                <w:b w:val="false"/>
                <w:bCs w:val="false"/>
                <w:color w:val="1A1A2E"/>
                <w:sz w:val="20"/>
                <w:szCs w:val="20"/>
              </w:rPr>
              <w:t xml:space="preserve"/>
            </w:r>
          </w:p>
        </w:tc>
        <w:tc>
          <w:tcPr>
            <w:tcW w:type="dxa" w:w="15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after="30" w:before="30"/>
              <w:jc w:val="center"/>
            </w:pPr>
            <w:r>
              <w:rPr>
                <w:rFonts w:ascii="Arial" w:cs="Arial" w:eastAsia="Arial" w:hAnsi="Arial"/>
                <w:b/>
                <w:bCs/>
                <w:color w:val="0F3460"/>
                <w:sz w:val="20"/>
                <w:szCs w:val="20"/>
              </w:rPr>
              <w:t xml:space="preserve">60.05%</w:t>
            </w:r>
          </w:p>
        </w:tc>
        <w:tc>
          <w:tcPr>
            <w:tcW w:type="dxa" w:w="39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after="30" w:before="30"/>
              <w:jc w:val="left"/>
            </w:pPr>
            <w:r>
              <w:rPr>
                <w:rFonts w:ascii="Arial" w:cs="Arial" w:eastAsia="Arial" w:hAnsi="Arial"/>
                <w:b w:val="false"/>
                <w:bCs w:val="false"/>
                <w:color w:val="444444"/>
                <w:sz w:val="20"/>
                <w:szCs w:val="20"/>
              </w:rPr>
              <w:t xml:space="preserve">39.95% unused — mathematically optimal</w:t>
            </w:r>
          </w:p>
        </w:tc>
      </w:tr>
    </w:tbl>
    <w:p>
      <w:pPr>
        <w:spacing w:after="0" w:before="200"/>
      </w:pPr>
    </w:p>
    <w:p>
      <w:pPr>
        <w:spacing w:after="100" w:before="60"/>
      </w:pPr>
      <w:r>
        <w:rPr>
          <w:rFonts w:ascii="Arial" w:cs="Arial" w:eastAsia="Arial" w:hAnsi="Arial"/>
          <w:i/>
          <w:iCs/>
          <w:sz w:val="22"/>
          <w:szCs w:val="22"/>
        </w:rPr>
        <w:t xml:space="preserve">Document prepared as a complete record of the IMC Prosperity 4 Round 5 Manual Challenge analysis. All portfolio allocations derived from Lagrangian optimization with crowd-adjusted alpha estimates.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6213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F34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2026-04-30T04:04:47.098Z</dcterms:created>
  <dcterms:modified xsi:type="dcterms:W3CDTF">2026-04-30T04:04:47.099Z</dcterms:modified>
</cp:coreProperties>
</file>

<file path=docProps/custom.xml><?xml version="1.0" encoding="utf-8"?>
<Properties xmlns="http://schemas.openxmlformats.org/officeDocument/2006/custom-properties" xmlns:vt="http://schemas.openxmlformats.org/officeDocument/2006/docPropsVTypes"/>
</file>