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4AC3" w14:textId="77777777" w:rsidR="00591ED4" w:rsidRPr="00591ED4" w:rsidRDefault="00591ED4" w:rsidP="00591ED4">
      <w:pPr>
        <w:rPr>
          <w:b/>
          <w:bCs/>
        </w:rPr>
      </w:pPr>
      <w:r w:rsidRPr="00591ED4">
        <w:rPr>
          <w:b/>
          <w:bCs/>
        </w:rPr>
        <w:t>Project Management Report: The Trans-National Hyperloop Initiative</w:t>
      </w:r>
    </w:p>
    <w:p w14:paraId="0A9ADF7A" w14:textId="77777777" w:rsidR="00591ED4" w:rsidRPr="00591ED4" w:rsidRDefault="00591ED4" w:rsidP="00591ED4"/>
    <w:p w14:paraId="727C0D7B" w14:textId="77777777" w:rsidR="00591ED4" w:rsidRPr="00591ED4" w:rsidRDefault="00591ED4" w:rsidP="00591ED4">
      <w:pPr>
        <w:rPr>
          <w:b/>
          <w:bCs/>
        </w:rPr>
      </w:pPr>
      <w:r w:rsidRPr="00591ED4">
        <w:rPr>
          <w:b/>
          <w:bCs/>
        </w:rPr>
        <w:t>Section 1: Project Concept Definition</w:t>
      </w:r>
    </w:p>
    <w:p w14:paraId="1C1E1070" w14:textId="77777777" w:rsidR="00591ED4" w:rsidRPr="00591ED4" w:rsidRDefault="00591ED4" w:rsidP="00591ED4"/>
    <w:p w14:paraId="486949C4" w14:textId="77777777" w:rsidR="00591ED4" w:rsidRPr="00591ED4" w:rsidRDefault="00591ED4" w:rsidP="00591ED4">
      <w:pPr>
        <w:rPr>
          <w:b/>
          <w:bCs/>
        </w:rPr>
      </w:pPr>
      <w:r w:rsidRPr="00591ED4">
        <w:rPr>
          <w:b/>
          <w:bCs/>
        </w:rPr>
        <w:t>Introduction to the Project</w:t>
      </w:r>
    </w:p>
    <w:p w14:paraId="0A3FBD12" w14:textId="77777777" w:rsidR="00591ED4" w:rsidRPr="00591ED4" w:rsidRDefault="00591ED4" w:rsidP="00591ED4"/>
    <w:p w14:paraId="4A451F59" w14:textId="77777777" w:rsidR="00591ED4" w:rsidRPr="00591ED4" w:rsidRDefault="00591ED4" w:rsidP="00591ED4">
      <w:r w:rsidRPr="00591ED4">
        <w:t>This report details the comprehensive plan for the development and implementation of the Trans-National Hyperloop Initiative, a revolutionary transportation system designed to move passengers and cargo at airline speeds with ground-level convenience and unprecedented energy efficiency. The project represents a paradigm shift in mass transit, leveraging proprietary technology to overcome the physical and environmental limitations of existing rail, road, and air networks. This document serves as the foundational strategic overview for project sponsors, investment partners, and governing bodies, outlining the project's concept, objectives, stakeholder landscape, financial structure, and execution plan as derived from the master project schedule.</w:t>
      </w:r>
      <w:r w:rsidRPr="00591ED4">
        <w:rPr>
          <w:vertAlign w:val="superscript"/>
        </w:rPr>
        <w:t>1</w:t>
      </w:r>
    </w:p>
    <w:p w14:paraId="58D081EE" w14:textId="77777777" w:rsidR="00591ED4" w:rsidRPr="00591ED4" w:rsidRDefault="00591ED4" w:rsidP="00591ED4"/>
    <w:p w14:paraId="5215772E" w14:textId="77777777" w:rsidR="00591ED4" w:rsidRPr="00591ED4" w:rsidRDefault="00591ED4" w:rsidP="00591ED4">
      <w:pPr>
        <w:rPr>
          <w:b/>
          <w:bCs/>
        </w:rPr>
      </w:pPr>
      <w:r w:rsidRPr="00591ED4">
        <w:rPr>
          <w:b/>
          <w:bCs/>
        </w:rPr>
        <w:t>Core Technology Overview</w:t>
      </w:r>
    </w:p>
    <w:p w14:paraId="1C89F2E2" w14:textId="77777777" w:rsidR="00591ED4" w:rsidRPr="00591ED4" w:rsidRDefault="00591ED4" w:rsidP="00591ED4"/>
    <w:p w14:paraId="73379367" w14:textId="77777777" w:rsidR="00591ED4" w:rsidRPr="00591ED4" w:rsidRDefault="00591ED4" w:rsidP="00591ED4">
      <w:r w:rsidRPr="00591ED4">
        <w:t>The system is based on a network of low-pressure vacuum tubes connecting major economic hubs. Within these tubes, autonomous, magnetically levitated pods will glide with minimal friction, powered entirely by a sustainable electrical grid. This core concept eliminates the primary barriers to high-speed ground travel—air resistance and wheel friction—enabling safe, reliable, and efficient transit at speeds potentially exceeding 700 mph. The infrastructure is envisioned as a combination of elevated pylons for overland segments and bored tunnels for mountainous terrain or undersea crossings, ensuring minimal environmental and community disruption.</w:t>
      </w:r>
      <w:r w:rsidRPr="00591ED4">
        <w:rPr>
          <w:vertAlign w:val="superscript"/>
        </w:rPr>
        <w:t>1</w:t>
      </w:r>
    </w:p>
    <w:p w14:paraId="361EC550" w14:textId="77777777" w:rsidR="00591ED4" w:rsidRPr="00591ED4" w:rsidRDefault="00591ED4" w:rsidP="00591ED4"/>
    <w:p w14:paraId="5584614F" w14:textId="77777777" w:rsidR="00591ED4" w:rsidRPr="00591ED4" w:rsidRDefault="00591ED4" w:rsidP="00591ED4">
      <w:pPr>
        <w:rPr>
          <w:b/>
          <w:bCs/>
        </w:rPr>
      </w:pPr>
      <w:r w:rsidRPr="00591ED4">
        <w:rPr>
          <w:b/>
          <w:bCs/>
        </w:rPr>
        <w:t>Phased Project Execution Strategy</w:t>
      </w:r>
    </w:p>
    <w:p w14:paraId="5295E5F8" w14:textId="77777777" w:rsidR="00591ED4" w:rsidRPr="00591ED4" w:rsidRDefault="00591ED4" w:rsidP="00591ED4"/>
    <w:p w14:paraId="5BA445DD" w14:textId="77777777" w:rsidR="00591ED4" w:rsidRPr="00591ED4" w:rsidRDefault="00591ED4" w:rsidP="00591ED4">
      <w:r w:rsidRPr="00591ED4">
        <w:t xml:space="preserve">The project is strategically structured into distinct, sequential phases to mitigate technological and financial risk. This phased approach ensures that each stage of </w:t>
      </w:r>
      <w:r w:rsidRPr="00591ED4">
        <w:lastRenderedPageBreak/>
        <w:t xml:space="preserve">investment is </w:t>
      </w:r>
      <w:proofErr w:type="gramStart"/>
      <w:r w:rsidRPr="00591ED4">
        <w:t>predicated</w:t>
      </w:r>
      <w:proofErr w:type="gramEnd"/>
      <w:r w:rsidRPr="00591ED4">
        <w:t xml:space="preserve"> on the successful validation of the previous one. The project lifecycle, as detailed in the master schedule, is a deliberate and logical progression from concept to reality.</w:t>
      </w:r>
      <w:r w:rsidRPr="00591ED4">
        <w:rPr>
          <w:vertAlign w:val="superscript"/>
        </w:rPr>
        <w:t>1</w:t>
      </w:r>
    </w:p>
    <w:p w14:paraId="48192945" w14:textId="77777777" w:rsidR="00591ED4" w:rsidRPr="00591ED4" w:rsidRDefault="00591ED4" w:rsidP="00591ED4">
      <w:pPr>
        <w:numPr>
          <w:ilvl w:val="0"/>
          <w:numId w:val="12"/>
        </w:numPr>
      </w:pPr>
      <w:r w:rsidRPr="00591ED4">
        <w:rPr>
          <w:b/>
          <w:bCs/>
        </w:rPr>
        <w:t>Phase 0 &amp; 1: Initiation, Planning, and Assessment:</w:t>
      </w:r>
      <w:r w:rsidRPr="00591ED4">
        <w:t xml:space="preserve"> This foundational stage encompasses all preliminary activities required to establish a viable project framework. It begins with the formation of a steering committee and the definition of a clear vision and objectives (Tasks ID 1, 2). It proceeds through extensive legal and financial structuring, including the engagement of legal advisors, the creation of a Special Purpose Vehicle (SPV), and the development of a Public-Private Partnership (PPP) model (Tasks ID 3, 8, 11). Concurrently, comprehensive due diligence is performed through market analysis, route identification, and </w:t>
      </w:r>
      <w:proofErr w:type="gramStart"/>
      <w:r w:rsidRPr="00591ED4">
        <w:t>a pre</w:t>
      </w:r>
      <w:proofErr w:type="gramEnd"/>
      <w:r w:rsidRPr="00591ED4">
        <w:t>-feasibility report (Tasks ID 4, 5, 9). A significant portion of this phase is dedicated to intensive environmental and geotechnical assessments along potential corridors, involving dozens of parallel workstreams for soil borings, lab testing, and community consultations to ensure the project is technically sound and socially responsible.</w:t>
      </w:r>
      <w:r w:rsidRPr="00591ED4">
        <w:rPr>
          <w:vertAlign w:val="superscript"/>
        </w:rPr>
        <w:t>1</w:t>
      </w:r>
    </w:p>
    <w:p w14:paraId="08510AD2" w14:textId="77777777" w:rsidR="00591ED4" w:rsidRPr="00591ED4" w:rsidRDefault="00591ED4" w:rsidP="00591ED4">
      <w:pPr>
        <w:numPr>
          <w:ilvl w:val="0"/>
          <w:numId w:val="12"/>
        </w:numPr>
      </w:pPr>
      <w:r w:rsidRPr="00591ED4">
        <w:rPr>
          <w:b/>
          <w:bCs/>
        </w:rPr>
        <w:t>Phase 2: Technology Prototyping and Validation:</w:t>
      </w:r>
      <w:r w:rsidRPr="00591ED4">
        <w:t xml:space="preserve"> This critical phase serves as the project's technological crucible. Before committing the bulk of capital to main line construction, this phase focuses on building and operating a full-scale Test Track. Key activities include the detailed civil design of the track, the prototype manufacturing of core components like the vacuum tube and the passenger pod, and extensive research and development into the vacuum and levitation systems (Tasks ID 180, 181, 182, 183). The culmination of this phase is a rigorous series of eight distinct test cycles designed to validate every aspect of the system's performance, from vacuum integrity and levitation stability to emergency evacuation procedures (Tasks ID 375-398). The successful completion of this phase provides the empirical proof-of-concept required by investors and regulators to proceed.</w:t>
      </w:r>
      <w:r w:rsidRPr="00591ED4">
        <w:rPr>
          <w:vertAlign w:val="superscript"/>
        </w:rPr>
        <w:t>1</w:t>
      </w:r>
    </w:p>
    <w:p w14:paraId="2818CA18" w14:textId="77777777" w:rsidR="00591ED4" w:rsidRPr="00591ED4" w:rsidRDefault="00591ED4" w:rsidP="00591ED4">
      <w:pPr>
        <w:numPr>
          <w:ilvl w:val="0"/>
          <w:numId w:val="12"/>
        </w:numPr>
      </w:pPr>
      <w:r w:rsidRPr="00591ED4">
        <w:rPr>
          <w:b/>
          <w:bCs/>
        </w:rPr>
        <w:t>Phase 3: Main Line and Station Construction:</w:t>
      </w:r>
      <w:r w:rsidRPr="00591ED4">
        <w:t xml:space="preserve"> Upon successful technology validation, the project transitions into a large-scale civil infrastructure program. This phase involves the highly parallelized construction of the main guideway, which is broken down into over 60 distinct geographic zones. For each zone, a standardized sequence of 16 construction tasks is executed, from site mobilization and pylon erection to tube installation and sensor integration (e.g., Tasks ID 399-414 for Zone 1). This phase also includes the construction of up to 12 state-of-the-art passenger and cargo stations, </w:t>
      </w:r>
      <w:proofErr w:type="gramStart"/>
      <w:r w:rsidRPr="00591ED4">
        <w:t>each a</w:t>
      </w:r>
      <w:proofErr w:type="gramEnd"/>
      <w:r w:rsidRPr="00591ED4">
        <w:t xml:space="preserve"> major sub-project in its own right, as well as specialized engineering works for tunnels and undersea crossings.</w:t>
      </w:r>
      <w:r w:rsidRPr="00591ED4">
        <w:rPr>
          <w:vertAlign w:val="superscript"/>
        </w:rPr>
        <w:t>1</w:t>
      </w:r>
    </w:p>
    <w:p w14:paraId="5A0DD036" w14:textId="77777777" w:rsidR="00591ED4" w:rsidRPr="00591ED4" w:rsidRDefault="00591ED4" w:rsidP="00591ED4">
      <w:r w:rsidRPr="00591ED4">
        <w:lastRenderedPageBreak/>
        <w:t>The very structure of the Work Breakdown Structure (WBS) reveals that this initiative is far more than a simple construction project. It is a complex, hybrid venture that begins as a high-risk technology development program and, only upon success, transitions into a large-scale infrastructure deployment program. The inclusion of an entire, heavily funded phase (WBS 2) dedicated to prototyping and testing—a step absent in mature infrastructure projects like highways or traditional railways—is a clear acknowledgment of the inherent technological uncertainty. This structure fundamentally shapes the project's risk profile. The initial phases are dominated by technological risk: will the system work as designed? The later phases are dominated by execution risk: can the system be built on time and on budget across vast distances? This bifurcation demands a uniquely versatile management approach, capable of steering the project from the laboratory to the field. The financial gating between WBS 2 and WBS 3 is therefore the single most important decision point in the project's lifecycle, representing the moment when technological validation unlocks the commitment of immense construction capital.</w:t>
      </w:r>
    </w:p>
    <w:p w14:paraId="5EF98B1F" w14:textId="77777777" w:rsidR="00591ED4" w:rsidRPr="00591ED4" w:rsidRDefault="00591ED4" w:rsidP="00591ED4"/>
    <w:p w14:paraId="265B067F" w14:textId="77777777" w:rsidR="00591ED4" w:rsidRPr="00591ED4" w:rsidRDefault="00591ED4" w:rsidP="00591ED4">
      <w:pPr>
        <w:rPr>
          <w:b/>
          <w:bCs/>
        </w:rPr>
      </w:pPr>
      <w:r w:rsidRPr="00591ED4">
        <w:rPr>
          <w:b/>
          <w:bCs/>
        </w:rPr>
        <w:t>Section 2: Strategic Aim and Project Objectives</w:t>
      </w:r>
    </w:p>
    <w:p w14:paraId="0D14EEA3" w14:textId="77777777" w:rsidR="00591ED4" w:rsidRPr="00591ED4" w:rsidRDefault="00591ED4" w:rsidP="00591ED4"/>
    <w:p w14:paraId="7713950A" w14:textId="77777777" w:rsidR="00591ED4" w:rsidRPr="00591ED4" w:rsidRDefault="00591ED4" w:rsidP="00591ED4">
      <w:pPr>
        <w:rPr>
          <w:b/>
          <w:bCs/>
        </w:rPr>
      </w:pPr>
      <w:r w:rsidRPr="00591ED4">
        <w:rPr>
          <w:b/>
          <w:bCs/>
        </w:rPr>
        <w:t>Aim</w:t>
      </w:r>
    </w:p>
    <w:p w14:paraId="454998D1" w14:textId="77777777" w:rsidR="00591ED4" w:rsidRPr="00591ED4" w:rsidRDefault="00591ED4" w:rsidP="00591ED4"/>
    <w:p w14:paraId="33787141" w14:textId="77777777" w:rsidR="00591ED4" w:rsidRPr="00591ED4" w:rsidRDefault="00591ED4" w:rsidP="00591ED4">
      <w:r w:rsidRPr="00591ED4">
        <w:t>To strategically deploy the world's first commercial-scale Hyperloop network, establishing a new global standard for sustainable high-speed transport, creating unprecedented economic connectivity between regions, and positioning the host nations as undisputed leaders in 21st-century infrastructure and technology.</w:t>
      </w:r>
    </w:p>
    <w:p w14:paraId="2E9D9099" w14:textId="77777777" w:rsidR="00591ED4" w:rsidRPr="00591ED4" w:rsidRDefault="00591ED4" w:rsidP="00591ED4"/>
    <w:p w14:paraId="6DC10A15" w14:textId="77777777" w:rsidR="00591ED4" w:rsidRPr="00591ED4" w:rsidRDefault="00591ED4" w:rsidP="00591ED4">
      <w:pPr>
        <w:rPr>
          <w:b/>
          <w:bCs/>
        </w:rPr>
      </w:pPr>
      <w:r w:rsidRPr="00591ED4">
        <w:rPr>
          <w:b/>
          <w:bCs/>
        </w:rPr>
        <w:t>Project Objectives (S.M.A.R.T. Framework)</w:t>
      </w:r>
    </w:p>
    <w:p w14:paraId="21ACB2EE" w14:textId="77777777" w:rsidR="00591ED4" w:rsidRPr="00591ED4" w:rsidRDefault="00591ED4" w:rsidP="00591ED4"/>
    <w:p w14:paraId="79590C21" w14:textId="77777777" w:rsidR="00591ED4" w:rsidRPr="00591ED4" w:rsidRDefault="00591ED4" w:rsidP="00591ED4">
      <w:r w:rsidRPr="00591ED4">
        <w:t>The project's high-level aim is supported by a series of specific, measurable, achievable, relevant, and time-bound objectives. These objectives are derived directly from the key deliverables and milestones defined within the project schedule and serve as the primary benchmarks against which project performance and success will be assessed.</w:t>
      </w:r>
      <w:r w:rsidRPr="00591ED4">
        <w:rPr>
          <w:vertAlign w:val="superscript"/>
        </w:rPr>
        <w:t>1</w:t>
      </w:r>
    </w:p>
    <w:p w14:paraId="68334C9D" w14:textId="77777777" w:rsidR="00591ED4" w:rsidRPr="00591ED4" w:rsidRDefault="00591ED4" w:rsidP="00591ED4">
      <w:pPr>
        <w:numPr>
          <w:ilvl w:val="0"/>
          <w:numId w:val="13"/>
        </w:numPr>
      </w:pPr>
      <w:r w:rsidRPr="00591ED4">
        <w:rPr>
          <w:b/>
          <w:bCs/>
        </w:rPr>
        <w:t>Specific:</w:t>
      </w:r>
      <w:r w:rsidRPr="00591ED4">
        <w:t xml:space="preserve"> To secure all national-level permits and complete cross-border regulatory alignment by the end of the first quarter of 2026. This objective is critical for establishing the legal "right-of-way" for the entire network. It is directly tied to the </w:t>
      </w:r>
      <w:r w:rsidRPr="00591ED4">
        <w:lastRenderedPageBreak/>
        <w:t>successful completion of the 240-day "Permit applications (national level)" task (ID 175) and the 120-day "Cross-border regulatory alignment workshops" (ID 176), which are designed to create a harmonized legal framework for construction and operation across all jurisdictions.</w:t>
      </w:r>
      <w:r w:rsidRPr="00591ED4">
        <w:rPr>
          <w:vertAlign w:val="superscript"/>
        </w:rPr>
        <w:t>1</w:t>
      </w:r>
    </w:p>
    <w:p w14:paraId="130F2257" w14:textId="77777777" w:rsidR="00591ED4" w:rsidRPr="00591ED4" w:rsidRDefault="00591ED4" w:rsidP="00591ED4">
      <w:pPr>
        <w:numPr>
          <w:ilvl w:val="0"/>
          <w:numId w:val="13"/>
        </w:numPr>
      </w:pPr>
      <w:r w:rsidRPr="00591ED4">
        <w:rPr>
          <w:b/>
          <w:bCs/>
        </w:rPr>
        <w:t>Measurable:</w:t>
      </w:r>
      <w:r w:rsidRPr="00591ED4">
        <w:t xml:space="preserve"> To successfully complete all eight cycles of the Test Track commissioning process by the fourth quarter of 2028. Success for this objective is defined as achieving all predefined Key Performance Indicators (KPIs) for system safety, reliability, and performance, including vacuum integrity, levitation stability, and emergency evacuation drills. This provides an unambiguous, data-driven measure of technological readiness and is the culmination of tasks ID 375 through ID 398.</w:t>
      </w:r>
      <w:r w:rsidRPr="00591ED4">
        <w:rPr>
          <w:vertAlign w:val="superscript"/>
        </w:rPr>
        <w:t>1</w:t>
      </w:r>
    </w:p>
    <w:p w14:paraId="46A52E62" w14:textId="77777777" w:rsidR="00591ED4" w:rsidRPr="00591ED4" w:rsidRDefault="00591ED4" w:rsidP="00591ED4">
      <w:pPr>
        <w:numPr>
          <w:ilvl w:val="0"/>
          <w:numId w:val="13"/>
        </w:numPr>
      </w:pPr>
      <w:r w:rsidRPr="00591ED4">
        <w:rPr>
          <w:b/>
          <w:bCs/>
        </w:rPr>
        <w:t>Achievable:</w:t>
      </w:r>
      <w:r w:rsidRPr="00591ED4">
        <w:t xml:space="preserve"> To secure initial funding commitments, validated by signed letters of intent from public and private partners, by the end of the second quarter of 2025. This objective, represented by the 120-day "Initial funding commitments (letters of intent)" task (ID 7), is designed to be achieved based on the compelling business case developed in the initial planning stages. It provides the necessary capital to proceed with the more capital-intensive detailed design and environmental assessment phases.</w:t>
      </w:r>
      <w:r w:rsidRPr="00591ED4">
        <w:rPr>
          <w:vertAlign w:val="superscript"/>
        </w:rPr>
        <w:t>1</w:t>
      </w:r>
    </w:p>
    <w:p w14:paraId="49F14A15" w14:textId="77777777" w:rsidR="00591ED4" w:rsidRPr="00591ED4" w:rsidRDefault="00591ED4" w:rsidP="00591ED4">
      <w:pPr>
        <w:numPr>
          <w:ilvl w:val="0"/>
          <w:numId w:val="13"/>
        </w:numPr>
      </w:pPr>
      <w:r w:rsidRPr="00591ED4">
        <w:rPr>
          <w:b/>
          <w:bCs/>
        </w:rPr>
        <w:t>Relevant:</w:t>
      </w:r>
      <w:r w:rsidRPr="00591ED4">
        <w:t xml:space="preserve"> To finalize the detailed Environmental Impact Assessment (EIA), encompassing comprehensive studies on biodiversity, noise, and visual impacts, by the end of 2025. This objective is directly relevant to securing the project's social license to operate and is a prerequisite for obtaining construction permits. Its completion is marked by the conclusion of the 180-day "Detailed EIA chapters - biodiversity, noise, visual" task (ID 174).</w:t>
      </w:r>
      <w:r w:rsidRPr="00591ED4">
        <w:rPr>
          <w:vertAlign w:val="superscript"/>
        </w:rPr>
        <w:t>1</w:t>
      </w:r>
    </w:p>
    <w:p w14:paraId="48B3D15C" w14:textId="77777777" w:rsidR="00591ED4" w:rsidRPr="00591ED4" w:rsidRDefault="00591ED4" w:rsidP="00591ED4">
      <w:pPr>
        <w:numPr>
          <w:ilvl w:val="0"/>
          <w:numId w:val="13"/>
        </w:numPr>
      </w:pPr>
      <w:r w:rsidRPr="00591ED4">
        <w:rPr>
          <w:b/>
          <w:bCs/>
        </w:rPr>
        <w:t>Time-bound:</w:t>
      </w:r>
      <w:r w:rsidRPr="00591ED4">
        <w:t xml:space="preserve"> To commence mobilization of the first main line construction site compound (Zone 1) by July 1, 2030. This date, defined by the start of task ID 399, "Zone 1 - mobilize site compound," represents a firm, time-bound goal that marks the official transition from the R&amp;D and validation phase (WBS 2) to the full-scale construction and deployment phase (WBS 3).</w:t>
      </w:r>
      <w:r w:rsidRPr="00591ED4">
        <w:rPr>
          <w:vertAlign w:val="superscript"/>
        </w:rPr>
        <w:t>1</w:t>
      </w:r>
    </w:p>
    <w:p w14:paraId="35738612" w14:textId="77777777" w:rsidR="00591ED4" w:rsidRPr="00591ED4" w:rsidRDefault="00591ED4" w:rsidP="00591ED4"/>
    <w:p w14:paraId="2BEB3D9A" w14:textId="77777777" w:rsidR="00591ED4" w:rsidRPr="00591ED4" w:rsidRDefault="00591ED4" w:rsidP="00591ED4">
      <w:pPr>
        <w:rPr>
          <w:b/>
          <w:bCs/>
        </w:rPr>
      </w:pPr>
      <w:r w:rsidRPr="00591ED4">
        <w:rPr>
          <w:b/>
          <w:bCs/>
        </w:rPr>
        <w:t>Section 3: Identifying Target Beneficiaries and Customers</w:t>
      </w:r>
    </w:p>
    <w:p w14:paraId="7AA70759" w14:textId="77777777" w:rsidR="00591ED4" w:rsidRPr="00591ED4" w:rsidRDefault="00591ED4" w:rsidP="00591ED4"/>
    <w:p w14:paraId="74D1C954" w14:textId="77777777" w:rsidR="00591ED4" w:rsidRPr="00591ED4" w:rsidRDefault="00591ED4" w:rsidP="00591ED4">
      <w:r w:rsidRPr="00591ED4">
        <w:t xml:space="preserve">A clear distinction between the project's beneficiaries and its customers is essential for aligning project delivery with strategic intent and financial accountability. Beneficiaries are </w:t>
      </w:r>
      <w:r w:rsidRPr="00591ED4">
        <w:lastRenderedPageBreak/>
        <w:t>the end-users who derive value from the operational system, while customers are the entities to whom the project team is directly accountable for delivering the project itself.</w:t>
      </w:r>
    </w:p>
    <w:p w14:paraId="2F25A037" w14:textId="77777777" w:rsidR="00591ED4" w:rsidRPr="00591ED4" w:rsidRDefault="00591ED4" w:rsidP="00591ED4"/>
    <w:p w14:paraId="51802BD5" w14:textId="77777777" w:rsidR="00591ED4" w:rsidRPr="00591ED4" w:rsidRDefault="00591ED4" w:rsidP="00591ED4">
      <w:pPr>
        <w:rPr>
          <w:b/>
          <w:bCs/>
        </w:rPr>
      </w:pPr>
      <w:r w:rsidRPr="00591ED4">
        <w:rPr>
          <w:b/>
          <w:bCs/>
        </w:rPr>
        <w:t>Beneficiaries</w:t>
      </w:r>
    </w:p>
    <w:p w14:paraId="3D1E59A7" w14:textId="77777777" w:rsidR="00591ED4" w:rsidRPr="00591ED4" w:rsidRDefault="00591ED4" w:rsidP="00591ED4"/>
    <w:p w14:paraId="50623C40" w14:textId="77777777" w:rsidR="00591ED4" w:rsidRPr="00591ED4" w:rsidRDefault="00591ED4" w:rsidP="00591ED4">
      <w:r w:rsidRPr="00591ED4">
        <w:t>The direct and indirect beneficiaries of the Trans-National Hyperloop Initiative are extensive and multi-layered, encompassing broad segments of society and the economy.</w:t>
      </w:r>
    </w:p>
    <w:p w14:paraId="63AE4242" w14:textId="77777777" w:rsidR="00591ED4" w:rsidRPr="00591ED4" w:rsidRDefault="00591ED4" w:rsidP="00591ED4">
      <w:pPr>
        <w:numPr>
          <w:ilvl w:val="0"/>
          <w:numId w:val="14"/>
        </w:numPr>
      </w:pPr>
      <w:r w:rsidRPr="00591ED4">
        <w:rPr>
          <w:b/>
          <w:bCs/>
        </w:rPr>
        <w:t>Passengers:</w:t>
      </w:r>
      <w:r w:rsidRPr="00591ED4">
        <w:t xml:space="preserve"> The most direct beneficiaries are business and leisure travelers. For these users, the system will offer a revolutionary value proposition: the speed of air travel combined with the convenience of a city-center train station. This will drastically reduce journey times, enhance comfort, and provide a level of predictability and weather-independence that is impossible with current transport modes.</w:t>
      </w:r>
    </w:p>
    <w:p w14:paraId="2F30C41B" w14:textId="77777777" w:rsidR="00591ED4" w:rsidRPr="00591ED4" w:rsidRDefault="00591ED4" w:rsidP="00591ED4">
      <w:pPr>
        <w:numPr>
          <w:ilvl w:val="0"/>
          <w:numId w:val="14"/>
        </w:numPr>
      </w:pPr>
      <w:r w:rsidRPr="00591ED4">
        <w:rPr>
          <w:b/>
          <w:bCs/>
        </w:rPr>
        <w:t>Logistics and Freight Industry:</w:t>
      </w:r>
      <w:r w:rsidRPr="00591ED4">
        <w:t xml:space="preserve"> The Hyperloop network will create a high-speed, on-demand logistics backbone for high-value and time-sensitive goods. This will enable companies to implement next-day or even same-day delivery models across vast distances, fundamentally revolutionizing supply chain management, reducing inventory costs, and opening new markets.</w:t>
      </w:r>
    </w:p>
    <w:p w14:paraId="7CE00963" w14:textId="77777777" w:rsidR="00591ED4" w:rsidRPr="00591ED4" w:rsidRDefault="00591ED4" w:rsidP="00591ED4">
      <w:pPr>
        <w:numPr>
          <w:ilvl w:val="0"/>
          <w:numId w:val="14"/>
        </w:numPr>
      </w:pPr>
      <w:r w:rsidRPr="00591ED4">
        <w:rPr>
          <w:b/>
          <w:bCs/>
        </w:rPr>
        <w:t>Regional Economies:</w:t>
      </w:r>
      <w:r w:rsidRPr="00591ED4">
        <w:t xml:space="preserve"> The cities and regions connected by the network will experience a powerful agglomeration effect, effectively functioning as a single, highly integrated economic zone. This will lead to increased trade, expanded tourism, deeper labor market integration, and a significant boost in overall economic growth and competitiveness.</w:t>
      </w:r>
    </w:p>
    <w:p w14:paraId="39D5030A" w14:textId="77777777" w:rsidR="00591ED4" w:rsidRPr="00591ED4" w:rsidRDefault="00591ED4" w:rsidP="00591ED4"/>
    <w:p w14:paraId="3BE27C03" w14:textId="77777777" w:rsidR="00591ED4" w:rsidRPr="00591ED4" w:rsidRDefault="00591ED4" w:rsidP="00591ED4">
      <w:pPr>
        <w:rPr>
          <w:b/>
          <w:bCs/>
        </w:rPr>
      </w:pPr>
      <w:r w:rsidRPr="00591ED4">
        <w:rPr>
          <w:b/>
          <w:bCs/>
        </w:rPr>
        <w:t>Customers</w:t>
      </w:r>
    </w:p>
    <w:p w14:paraId="7ABC4FB6" w14:textId="77777777" w:rsidR="00591ED4" w:rsidRPr="00591ED4" w:rsidRDefault="00591ED4" w:rsidP="00591ED4"/>
    <w:p w14:paraId="254AE40B" w14:textId="77777777" w:rsidR="00591ED4" w:rsidRPr="00591ED4" w:rsidRDefault="00591ED4" w:rsidP="00591ED4">
      <w:r w:rsidRPr="00591ED4">
        <w:t>The customers are the primary entities funding the project's development and construction. The project plan reveals a sophisticated multi-customer structure, typical of a large-scale Public-Private Partnership.</w:t>
      </w:r>
      <w:r w:rsidRPr="00591ED4">
        <w:rPr>
          <w:vertAlign w:val="superscript"/>
        </w:rPr>
        <w:t>1</w:t>
      </w:r>
    </w:p>
    <w:p w14:paraId="451B3544" w14:textId="77777777" w:rsidR="00591ED4" w:rsidRPr="00591ED4" w:rsidRDefault="00591ED4" w:rsidP="00591ED4">
      <w:pPr>
        <w:numPr>
          <w:ilvl w:val="0"/>
          <w:numId w:val="15"/>
        </w:numPr>
      </w:pPr>
      <w:r w:rsidRPr="00591ED4">
        <w:rPr>
          <w:b/>
          <w:bCs/>
        </w:rPr>
        <w:t>The Special Purpose Vehicle (SPV):</w:t>
      </w:r>
      <w:r w:rsidRPr="00591ED4">
        <w:t xml:space="preserve"> The task "Create SPV &amp; governance draft" (ID 8) indicates the formation of a dedicated legal and financial entity to oversee the project.</w:t>
      </w:r>
      <w:r w:rsidRPr="00591ED4">
        <w:rPr>
          <w:vertAlign w:val="superscript"/>
        </w:rPr>
        <w:t>1</w:t>
      </w:r>
      <w:r w:rsidRPr="00591ED4">
        <w:t xml:space="preserve"> This SPV will be the central and most direct customer, acting as the legal </w:t>
      </w:r>
      <w:r w:rsidRPr="00591ED4">
        <w:lastRenderedPageBreak/>
        <w:t>entity that holds the contracts, manages the funds, and represents the combined interests of all public and private funding partners. The project leadership team is ultimately accountable to the board of this SPV.</w:t>
      </w:r>
    </w:p>
    <w:p w14:paraId="3FD73F2E" w14:textId="77777777" w:rsidR="00591ED4" w:rsidRPr="00591ED4" w:rsidRDefault="00591ED4" w:rsidP="00591ED4">
      <w:pPr>
        <w:numPr>
          <w:ilvl w:val="0"/>
          <w:numId w:val="15"/>
        </w:numPr>
      </w:pPr>
      <w:r w:rsidRPr="00591ED4">
        <w:rPr>
          <w:b/>
          <w:bCs/>
        </w:rPr>
        <w:t>Public Sector Partners (Governments):</w:t>
      </w:r>
      <w:r w:rsidRPr="00591ED4">
        <w:t xml:space="preserve"> The explicit inclusion of a "Procurement strategy &amp; PPP model" task (ID 11) confirms the role of government entities as key customers.</w:t>
      </w:r>
      <w:r w:rsidRPr="00591ED4">
        <w:rPr>
          <w:vertAlign w:val="superscript"/>
        </w:rPr>
        <w:t>1</w:t>
      </w:r>
      <w:r w:rsidRPr="00591ED4">
        <w:t xml:space="preserve"> These partners, likely including national and regional Departments of Transportation and Economic Development Authorities, are investing public funds and providing political and regulatory support. Their return is measured not in direct profit, but in the long-term economic benefits, job creation, and enhanced global standing that the project will deliver to their jurisdictions.</w:t>
      </w:r>
    </w:p>
    <w:p w14:paraId="3F9F9A82" w14:textId="77777777" w:rsidR="00591ED4" w:rsidRPr="00591ED4" w:rsidRDefault="00591ED4" w:rsidP="00591ED4">
      <w:pPr>
        <w:numPr>
          <w:ilvl w:val="0"/>
          <w:numId w:val="15"/>
        </w:numPr>
      </w:pPr>
      <w:r w:rsidRPr="00591ED4">
        <w:rPr>
          <w:b/>
          <w:bCs/>
        </w:rPr>
        <w:t>Private Sector Investors:</w:t>
      </w:r>
      <w:r w:rsidRPr="00591ED4">
        <w:t xml:space="preserve"> The "Finance Team" resource and the "Initial funding commitments" task (ID 7) signify the critical role of private capital.</w:t>
      </w:r>
      <w:r w:rsidRPr="00591ED4">
        <w:rPr>
          <w:vertAlign w:val="superscript"/>
        </w:rPr>
        <w:t>1</w:t>
      </w:r>
      <w:r w:rsidRPr="00591ED4">
        <w:t xml:space="preserve"> This customer group includes infrastructure investment funds, sovereign wealth funds, technology corporations, and other private consortia. Their primary motivation is to secure a stable, long-term financial return on their investment, which will be generated from the operational revenue of the completed Hyperloop network.</w:t>
      </w:r>
    </w:p>
    <w:p w14:paraId="68F73C0D" w14:textId="77777777" w:rsidR="00591ED4" w:rsidRPr="00591ED4" w:rsidRDefault="00591ED4" w:rsidP="00591ED4"/>
    <w:p w14:paraId="6FC79BDB" w14:textId="77777777" w:rsidR="00591ED4" w:rsidRPr="00591ED4" w:rsidRDefault="00591ED4" w:rsidP="00591ED4">
      <w:pPr>
        <w:rPr>
          <w:b/>
          <w:bCs/>
        </w:rPr>
      </w:pPr>
      <w:r w:rsidRPr="00591ED4">
        <w:rPr>
          <w:b/>
          <w:bCs/>
        </w:rPr>
        <w:t xml:space="preserve">Section 4: Assessing </w:t>
      </w:r>
      <w:proofErr w:type="gramStart"/>
      <w:r w:rsidRPr="00591ED4">
        <w:rPr>
          <w:b/>
          <w:bCs/>
        </w:rPr>
        <w:t>the Need</w:t>
      </w:r>
      <w:proofErr w:type="gramEnd"/>
      <w:r w:rsidRPr="00591ED4">
        <w:rPr>
          <w:b/>
          <w:bCs/>
        </w:rPr>
        <w:t xml:space="preserve"> and Opportunity</w:t>
      </w:r>
    </w:p>
    <w:p w14:paraId="57B3184B" w14:textId="77777777" w:rsidR="00591ED4" w:rsidRPr="00591ED4" w:rsidRDefault="00591ED4" w:rsidP="00591ED4"/>
    <w:p w14:paraId="0CB7D947" w14:textId="77777777" w:rsidR="00591ED4" w:rsidRPr="00591ED4" w:rsidRDefault="00591ED4" w:rsidP="00591ED4">
      <w:r w:rsidRPr="00591ED4">
        <w:t>The business case for the Hyperloop initiative is founded on a clear-eyed assessment of the profound limitations of existing transportation infrastructure and the immense economic and social opportunity that a new paradigm can unlock.</w:t>
      </w:r>
    </w:p>
    <w:p w14:paraId="04173F14" w14:textId="77777777" w:rsidR="00591ED4" w:rsidRPr="00591ED4" w:rsidRDefault="00591ED4" w:rsidP="00591ED4"/>
    <w:p w14:paraId="0ADBA448" w14:textId="77777777" w:rsidR="00591ED4" w:rsidRPr="00591ED4" w:rsidRDefault="00591ED4" w:rsidP="00591ED4">
      <w:pPr>
        <w:rPr>
          <w:b/>
          <w:bCs/>
        </w:rPr>
      </w:pPr>
      <w:r w:rsidRPr="00591ED4">
        <w:rPr>
          <w:b/>
          <w:bCs/>
        </w:rPr>
        <w:t>The Problem</w:t>
      </w:r>
    </w:p>
    <w:p w14:paraId="273A129C" w14:textId="77777777" w:rsidR="00591ED4" w:rsidRPr="00591ED4" w:rsidRDefault="00591ED4" w:rsidP="00591ED4"/>
    <w:p w14:paraId="79E8A3D7" w14:textId="77777777" w:rsidR="00591ED4" w:rsidRPr="00591ED4" w:rsidRDefault="00591ED4" w:rsidP="00591ED4">
      <w:r w:rsidRPr="00591ED4">
        <w:t xml:space="preserve">Modern economies are being actively constrained by the inherent limitations of 20th-century transportation networks. Major road and rail corridors </w:t>
      </w:r>
      <w:proofErr w:type="gramStart"/>
      <w:r w:rsidRPr="00591ED4">
        <w:t>are operating</w:t>
      </w:r>
      <w:proofErr w:type="gramEnd"/>
      <w:r w:rsidRPr="00591ED4">
        <w:t xml:space="preserve"> at or near capacity, leading to billions of dollars in lost productivity due to congestion and delays. Air travel, while fast, is highly carbon-intensive, subject to weather disruptions, and inefficient for the crucial regional distances (100-500 miles) that are the lifeblood of modern economies. These systemic bottlenecks act as a brake on economic growth, limit labor mobility, and contribute significantly to environmental degradation. The project plan allocates specific resources and time to quantifying these existing inefficiencies through </w:t>
      </w:r>
      <w:r w:rsidRPr="00591ED4">
        <w:lastRenderedPageBreak/>
        <w:t>the "Initial market analysis" (ID 4) and "Traffic &amp; transport modelling" (ID 177) tasks, ensuring that the project's scope is directly aligned with solving a well-defined and costly problem.</w:t>
      </w:r>
      <w:r w:rsidRPr="00591ED4">
        <w:rPr>
          <w:vertAlign w:val="superscript"/>
        </w:rPr>
        <w:t>1</w:t>
      </w:r>
    </w:p>
    <w:p w14:paraId="6CE25FA5" w14:textId="77777777" w:rsidR="00591ED4" w:rsidRPr="00591ED4" w:rsidRDefault="00591ED4" w:rsidP="00591ED4"/>
    <w:p w14:paraId="437C368D" w14:textId="77777777" w:rsidR="00591ED4" w:rsidRPr="00591ED4" w:rsidRDefault="00591ED4" w:rsidP="00591ED4">
      <w:pPr>
        <w:rPr>
          <w:b/>
          <w:bCs/>
        </w:rPr>
      </w:pPr>
      <w:r w:rsidRPr="00591ED4">
        <w:rPr>
          <w:b/>
          <w:bCs/>
        </w:rPr>
        <w:t>The Opportunity</w:t>
      </w:r>
    </w:p>
    <w:p w14:paraId="0F459192" w14:textId="77777777" w:rsidR="00591ED4" w:rsidRPr="00591ED4" w:rsidRDefault="00591ED4" w:rsidP="00591ED4"/>
    <w:p w14:paraId="7AEE596A" w14:textId="77777777" w:rsidR="00591ED4" w:rsidRPr="00591ED4" w:rsidRDefault="00591ED4" w:rsidP="00591ED4">
      <w:r w:rsidRPr="00591ED4">
        <w:t>The Trans-National Hyperloop Initiative presents a direct and transformative solution to these challenges. The opportunity extends far beyond simply building a faster mode of transport; it is about fundamentally reshaping the economic and social geography of the regions it connects.</w:t>
      </w:r>
    </w:p>
    <w:p w14:paraId="24E92D5F" w14:textId="77777777" w:rsidR="00591ED4" w:rsidRPr="00591ED4" w:rsidRDefault="00591ED4" w:rsidP="00591ED4">
      <w:pPr>
        <w:numPr>
          <w:ilvl w:val="0"/>
          <w:numId w:val="16"/>
        </w:numPr>
      </w:pPr>
      <w:r w:rsidRPr="00591ED4">
        <w:rPr>
          <w:b/>
          <w:bCs/>
        </w:rPr>
        <w:t>Economic Disruption and Market Creation:</w:t>
      </w:r>
      <w:r w:rsidRPr="00591ED4">
        <w:t xml:space="preserve"> The project will create an entirely new market for high-speed, autonomous, and sustainable transport. By collapsing travel times between major cities from hours to minutes, it will enable business models, commuter patterns, and supply chains that are currently impossible. This fosters innovation and creates a powerful and enduring competitive advantage for the connected regions, attracting investment and talent.</w:t>
      </w:r>
    </w:p>
    <w:p w14:paraId="207E64B7" w14:textId="77777777" w:rsidR="00591ED4" w:rsidRPr="00591ED4" w:rsidRDefault="00591ED4" w:rsidP="00591ED4">
      <w:pPr>
        <w:numPr>
          <w:ilvl w:val="0"/>
          <w:numId w:val="16"/>
        </w:numPr>
      </w:pPr>
      <w:r w:rsidRPr="00591ED4">
        <w:rPr>
          <w:b/>
          <w:bCs/>
        </w:rPr>
        <w:t>Technological Leadership and Intellectual Property:</w:t>
      </w:r>
      <w:r w:rsidRPr="00591ED4">
        <w:t xml:space="preserve"> By pioneering this technology </w:t>
      </w:r>
      <w:proofErr w:type="gramStart"/>
      <w:r w:rsidRPr="00591ED4">
        <w:t>at</w:t>
      </w:r>
      <w:proofErr w:type="gramEnd"/>
      <w:r w:rsidRPr="00591ED4">
        <w:t xml:space="preserve"> a commercial scale, the project will establish the host nations and their corporate partners as undisputed global leaders in advanced transportation. The "Intellectual property &amp; tech scouting" task (ID 12) underscores a deliberate strategy to develop and control the core technology, creating a valuable portfolio of patents and expertise that can be licensed globally, generating a secondary revenue stream and cementing a long-term technological advantage.</w:t>
      </w:r>
      <w:r w:rsidRPr="00591ED4">
        <w:rPr>
          <w:vertAlign w:val="superscript"/>
        </w:rPr>
        <w:t>1</w:t>
      </w:r>
    </w:p>
    <w:p w14:paraId="2BEA73BC" w14:textId="77777777" w:rsidR="00591ED4" w:rsidRPr="00591ED4" w:rsidRDefault="00591ED4" w:rsidP="00591ED4">
      <w:pPr>
        <w:numPr>
          <w:ilvl w:val="0"/>
          <w:numId w:val="16"/>
        </w:numPr>
      </w:pPr>
      <w:r w:rsidRPr="00591ED4">
        <w:rPr>
          <w:b/>
          <w:bCs/>
        </w:rPr>
        <w:t>Sustainable Development:</w:t>
      </w:r>
      <w:r w:rsidRPr="00591ED4">
        <w:t xml:space="preserve"> As a fully electric system designed to be powered by renewable energy, the Hyperloop offers a viable path to decarbonize a significant portion of regional travel and freight. This directly addresses one of the most pressing global challenges and aligns the project with the long-term Environmental, Social, and Governance (ESG) goals of modern governments and institutional investors, making it a highly attractive proposition for sustainable investment funds.</w:t>
      </w:r>
    </w:p>
    <w:p w14:paraId="5C66B010" w14:textId="77777777" w:rsidR="00591ED4" w:rsidRPr="00591ED4" w:rsidRDefault="00591ED4" w:rsidP="00591ED4"/>
    <w:p w14:paraId="6A7D3B90" w14:textId="77777777" w:rsidR="00591ED4" w:rsidRPr="00591ED4" w:rsidRDefault="00591ED4" w:rsidP="00591ED4">
      <w:pPr>
        <w:rPr>
          <w:b/>
          <w:bCs/>
        </w:rPr>
      </w:pPr>
      <w:r w:rsidRPr="00591ED4">
        <w:rPr>
          <w:b/>
          <w:bCs/>
        </w:rPr>
        <w:t>Section 5: Stakeholder Engagement and Management Strategy</w:t>
      </w:r>
    </w:p>
    <w:p w14:paraId="6162F6C6" w14:textId="77777777" w:rsidR="00591ED4" w:rsidRPr="00591ED4" w:rsidRDefault="00591ED4" w:rsidP="00591ED4"/>
    <w:p w14:paraId="2CA2069D" w14:textId="77777777" w:rsidR="00591ED4" w:rsidRPr="00591ED4" w:rsidRDefault="00591ED4" w:rsidP="00591ED4">
      <w:r w:rsidRPr="00591ED4">
        <w:lastRenderedPageBreak/>
        <w:t>The success of a project of this scale and complexity is as dependent on managing its human and political ecosystem as it is on managing its technical execution. A review of the project schedule reveals an exceptionally diverse and interconnected stakeholder landscape, requiring a sophisticated and proactive management strategy.</w:t>
      </w:r>
      <w:r w:rsidRPr="00591ED4">
        <w:rPr>
          <w:vertAlign w:val="superscript"/>
        </w:rPr>
        <w:t>1</w:t>
      </w:r>
    </w:p>
    <w:p w14:paraId="5EE4721A" w14:textId="77777777" w:rsidR="00591ED4" w:rsidRPr="00591ED4" w:rsidRDefault="00591ED4" w:rsidP="00591ED4"/>
    <w:p w14:paraId="7CFA2AB4" w14:textId="77777777" w:rsidR="00591ED4" w:rsidRPr="00591ED4" w:rsidRDefault="00591ED4" w:rsidP="00591ED4">
      <w:pPr>
        <w:rPr>
          <w:b/>
          <w:bCs/>
        </w:rPr>
      </w:pPr>
      <w:r w:rsidRPr="00591ED4">
        <w:rPr>
          <w:b/>
          <w:bCs/>
        </w:rPr>
        <w:t>Identification of Stakeholders</w:t>
      </w:r>
    </w:p>
    <w:p w14:paraId="244544BC" w14:textId="77777777" w:rsidR="00591ED4" w:rsidRPr="00591ED4" w:rsidRDefault="00591ED4" w:rsidP="00591ED4"/>
    <w:p w14:paraId="106AB831" w14:textId="77777777" w:rsidR="00591ED4" w:rsidRPr="00591ED4" w:rsidRDefault="00591ED4" w:rsidP="00591ED4">
      <w:r w:rsidRPr="00591ED4">
        <w:t>The 'Resource Names' column in the project schedule provides a clear map of the key stakeholder groups involved in the project's delivery and governance.</w:t>
      </w:r>
      <w:r w:rsidRPr="00591ED4">
        <w:rPr>
          <w:vertAlign w:val="superscript"/>
        </w:rPr>
        <w:t>1</w:t>
      </w:r>
    </w:p>
    <w:p w14:paraId="6928E5BF" w14:textId="77777777" w:rsidR="00591ED4" w:rsidRPr="00591ED4" w:rsidRDefault="00591ED4" w:rsidP="00591ED4">
      <w:pPr>
        <w:numPr>
          <w:ilvl w:val="0"/>
          <w:numId w:val="17"/>
        </w:numPr>
      </w:pPr>
      <w:r w:rsidRPr="00591ED4">
        <w:rPr>
          <w:b/>
          <w:bCs/>
        </w:rPr>
        <w:t>Internal Stakeholders:</w:t>
      </w:r>
      <w:r w:rsidRPr="00591ED4">
        <w:t xml:space="preserve"> This core group is responsible for the direct execution and governance of the project. It includes </w:t>
      </w:r>
      <w:proofErr w:type="gramStart"/>
      <w:r w:rsidRPr="00591ED4">
        <w:t>the Project</w:t>
      </w:r>
      <w:proofErr w:type="gramEnd"/>
      <w:r w:rsidRPr="00591ED4">
        <w:t xml:space="preserve"> Leadership, the Project Management Office (PMO), and specialized internal teams such as Finance, Legal, R&amp;D, Engineering, Procurement, HR, and Safety.</w:t>
      </w:r>
      <w:r w:rsidRPr="00591ED4">
        <w:rPr>
          <w:vertAlign w:val="superscript"/>
        </w:rPr>
        <w:t>1</w:t>
      </w:r>
    </w:p>
    <w:p w14:paraId="6102C832" w14:textId="77777777" w:rsidR="00591ED4" w:rsidRPr="00591ED4" w:rsidRDefault="00591ED4" w:rsidP="00591ED4">
      <w:pPr>
        <w:numPr>
          <w:ilvl w:val="0"/>
          <w:numId w:val="17"/>
        </w:numPr>
      </w:pPr>
      <w:r w:rsidRPr="00591ED4">
        <w:rPr>
          <w:b/>
          <w:bCs/>
        </w:rPr>
        <w:t>External Stakeholders:</w:t>
      </w:r>
      <w:r w:rsidRPr="00591ED4">
        <w:t xml:space="preserve"> This broad category includes all entities outside the direct project organization who have an interest or influence in the project.</w:t>
      </w:r>
    </w:p>
    <w:p w14:paraId="42C71103" w14:textId="77777777" w:rsidR="00591ED4" w:rsidRPr="00591ED4" w:rsidRDefault="00591ED4" w:rsidP="00591ED4">
      <w:pPr>
        <w:numPr>
          <w:ilvl w:val="0"/>
          <w:numId w:val="18"/>
        </w:numPr>
      </w:pPr>
      <w:r w:rsidRPr="00591ED4">
        <w:rPr>
          <w:b/>
          <w:bCs/>
        </w:rPr>
        <w:t>Partners &amp; Suppliers:</w:t>
      </w:r>
      <w:r w:rsidRPr="00591ED4">
        <w:t xml:space="preserve"> This group forms the project's industrial base and includes the primary technology partners (TBM Vendor, Tube Manufacturer, Pod Manufacturer, Vacuum Systems, Control Systems) as well as the vast network of specialized contractors (Civil, Electrical, MEP) and expert consultants (Environmental, Geotechnical, Seismic).</w:t>
      </w:r>
      <w:r w:rsidRPr="00591ED4">
        <w:rPr>
          <w:vertAlign w:val="superscript"/>
        </w:rPr>
        <w:t>1</w:t>
      </w:r>
    </w:p>
    <w:p w14:paraId="69E47AAD" w14:textId="77777777" w:rsidR="00591ED4" w:rsidRPr="00591ED4" w:rsidRDefault="00591ED4" w:rsidP="00591ED4">
      <w:pPr>
        <w:numPr>
          <w:ilvl w:val="0"/>
          <w:numId w:val="19"/>
        </w:numPr>
      </w:pPr>
      <w:r w:rsidRPr="00591ED4">
        <w:rPr>
          <w:b/>
          <w:bCs/>
        </w:rPr>
        <w:t>Government &amp; Regulatory Bodies:</w:t>
      </w:r>
      <w:r w:rsidRPr="00591ED4">
        <w:t xml:space="preserve"> This includes the national and cross-border agencies responsible for issuing permits, granting environmental approvals, and certifying the system for public safety. Their engagement is critical </w:t>
      </w:r>
      <w:proofErr w:type="gramStart"/>
      <w:r w:rsidRPr="00591ED4">
        <w:t>and is</w:t>
      </w:r>
      <w:proofErr w:type="gramEnd"/>
      <w:r w:rsidRPr="00591ED4">
        <w:t xml:space="preserve"> formally managed through tasks like "Permit applications" (ID 175) and "Preliminary governance treaty outreach" (ID 18).</w:t>
      </w:r>
      <w:r w:rsidRPr="00591ED4">
        <w:rPr>
          <w:vertAlign w:val="superscript"/>
        </w:rPr>
        <w:t>1</w:t>
      </w:r>
    </w:p>
    <w:p w14:paraId="7D432FD6" w14:textId="77777777" w:rsidR="00591ED4" w:rsidRPr="00591ED4" w:rsidRDefault="00591ED4" w:rsidP="00591ED4">
      <w:pPr>
        <w:numPr>
          <w:ilvl w:val="0"/>
          <w:numId w:val="20"/>
        </w:numPr>
      </w:pPr>
      <w:r w:rsidRPr="00591ED4">
        <w:rPr>
          <w:b/>
          <w:bCs/>
        </w:rPr>
        <w:t>Financial Stakeholders:</w:t>
      </w:r>
      <w:r w:rsidRPr="00591ED4">
        <w:t xml:space="preserve"> This encompasses the private investors (e.g., investment funds, infrastructure banks) and public partners who form the PPP. Their primary interest is in the project's financial performance and adherence to the business plan.</w:t>
      </w:r>
    </w:p>
    <w:p w14:paraId="158F21A7" w14:textId="77777777" w:rsidR="00591ED4" w:rsidRPr="00591ED4" w:rsidRDefault="00591ED4" w:rsidP="00591ED4">
      <w:pPr>
        <w:numPr>
          <w:ilvl w:val="0"/>
          <w:numId w:val="21"/>
        </w:numPr>
      </w:pPr>
      <w:r w:rsidRPr="00591ED4">
        <w:rPr>
          <w:b/>
          <w:bCs/>
        </w:rPr>
        <w:t>Community Stakeholders:</w:t>
      </w:r>
      <w:r w:rsidRPr="00591ED4">
        <w:t xml:space="preserve"> This group includes the general public, landowners along the proposed corridors, and local communities. Their support, or opposition, can significantly impact the project's timeline and viability. The project plan recognizes this through the inclusion of extensive, segment-by-segment </w:t>
      </w:r>
      <w:r w:rsidRPr="00591ED4">
        <w:lastRenderedPageBreak/>
        <w:t>"Community consultations" (e.g., ID 25, 30, 35) throughout the route assessment phase.</w:t>
      </w:r>
      <w:r w:rsidRPr="00591ED4">
        <w:rPr>
          <w:vertAlign w:val="superscript"/>
        </w:rPr>
        <w:t>1</w:t>
      </w:r>
    </w:p>
    <w:p w14:paraId="2F0AAF5A" w14:textId="77777777" w:rsidR="00591ED4" w:rsidRPr="00591ED4" w:rsidRDefault="00591ED4" w:rsidP="00591ED4"/>
    <w:p w14:paraId="47F5E590" w14:textId="77777777" w:rsidR="00591ED4" w:rsidRPr="00591ED4" w:rsidRDefault="00591ED4" w:rsidP="00591ED4">
      <w:pPr>
        <w:rPr>
          <w:b/>
          <w:bCs/>
        </w:rPr>
      </w:pPr>
      <w:r w:rsidRPr="00591ED4">
        <w:rPr>
          <w:b/>
          <w:bCs/>
        </w:rPr>
        <w:t>Formulate Strategy</w:t>
      </w:r>
    </w:p>
    <w:p w14:paraId="3F74A54C" w14:textId="77777777" w:rsidR="00591ED4" w:rsidRPr="00591ED4" w:rsidRDefault="00591ED4" w:rsidP="00591ED4"/>
    <w:p w14:paraId="78F6223B" w14:textId="77777777" w:rsidR="00591ED4" w:rsidRPr="00591ED4" w:rsidRDefault="00591ED4" w:rsidP="00591ED4">
      <w:r w:rsidRPr="00591ED4">
        <w:t>A multi-faceted strategy is required to manage the complex and often competing interests of these groups.</w:t>
      </w:r>
    </w:p>
    <w:p w14:paraId="158C3888" w14:textId="77777777" w:rsidR="00591ED4" w:rsidRPr="00591ED4" w:rsidRDefault="00591ED4" w:rsidP="00591ED4">
      <w:pPr>
        <w:numPr>
          <w:ilvl w:val="0"/>
          <w:numId w:val="22"/>
        </w:numPr>
      </w:pPr>
      <w:r w:rsidRPr="00591ED4">
        <w:rPr>
          <w:b/>
          <w:bCs/>
        </w:rPr>
        <w:t>Communication Plan:</w:t>
      </w:r>
      <w:r w:rsidRPr="00591ED4">
        <w:t xml:space="preserve"> A multi-tiered communication plan will be implemented. For internal teams and technical partners, this will involve the use of integrated project management platforms, regular progress reviews, and formal design gate meetings to ensure seamless coordination. For financial stakeholders and the SPV board, communication will consist of monthly dashboard reports tracking progress against KPIs (ID 19), budget variance, and the risk register. For the public and regulatory bodies, the "Communications" team will execute a proactive public relations and government affairs strategy, including town hall meetings, a dedicated project website (ID 10), and regular, transparent press briefings.</w:t>
      </w:r>
      <w:r w:rsidRPr="00591ED4">
        <w:rPr>
          <w:vertAlign w:val="superscript"/>
        </w:rPr>
        <w:t>1</w:t>
      </w:r>
    </w:p>
    <w:p w14:paraId="3F618010" w14:textId="77777777" w:rsidR="00591ED4" w:rsidRPr="00591ED4" w:rsidRDefault="00591ED4" w:rsidP="00591ED4">
      <w:pPr>
        <w:numPr>
          <w:ilvl w:val="0"/>
          <w:numId w:val="22"/>
        </w:numPr>
      </w:pPr>
      <w:r w:rsidRPr="00591ED4">
        <w:rPr>
          <w:b/>
          <w:bCs/>
        </w:rPr>
        <w:t>Stakeholder Interests and Influence:</w:t>
      </w:r>
      <w:r w:rsidRPr="00591ED4">
        <w:t xml:space="preserve"> The SPV and its primary investors hold the highest level of influence and are primarily focused on the project's overall financial viability and strategic success. Regulatory bodies hold absolute approval power (high influence) and are focused exclusively on safety and environmental compliance. Technology partners have high influence over their specific technical domains and are focused on performance and intellectual property protection. Community groups have high interest, and their collective influence can be significant, particularly during the permitting phase; their concerns will primarily relate to local impacts such as noise, land use, and visual amenity.</w:t>
      </w:r>
    </w:p>
    <w:p w14:paraId="1A7ACAAB" w14:textId="77777777" w:rsidR="00591ED4" w:rsidRPr="00591ED4" w:rsidRDefault="00591ED4" w:rsidP="00591ED4">
      <w:pPr>
        <w:numPr>
          <w:ilvl w:val="0"/>
          <w:numId w:val="22"/>
        </w:numPr>
      </w:pPr>
      <w:r w:rsidRPr="00591ED4">
        <w:rPr>
          <w:b/>
          <w:bCs/>
        </w:rPr>
        <w:t>Conflict Resolution Plan:</w:t>
      </w:r>
      <w:r w:rsidRPr="00591ED4">
        <w:t xml:space="preserve"> Given the number of high-stakes players, a formal, multi-stage conflict resolution process is essential. A Change Control Board (CCB), comprising senior representatives from key stakeholder groups, will be established to adjudicate any proposed changes to the project's scope, schedule, or budget. The "Early risk register &amp; mitigation plan" (ID 13) will be maintained as a living document to proactively identify potential conflicts before they escalate.</w:t>
      </w:r>
      <w:r w:rsidRPr="00591ED4">
        <w:rPr>
          <w:vertAlign w:val="superscript"/>
        </w:rPr>
        <w:t>1</w:t>
      </w:r>
      <w:r w:rsidRPr="00591ED4">
        <w:t xml:space="preserve"> A clear escalation matrix will be defined in the project's governance documents, starting with the Project Leadership, moving to the SPV's executive committee, and, for major disputes between partners, culminating in binding arbitration as outlined in the governance treaties (ID 18).</w:t>
      </w:r>
      <w:r w:rsidRPr="00591ED4">
        <w:rPr>
          <w:vertAlign w:val="superscript"/>
        </w:rPr>
        <w:t>1</w:t>
      </w:r>
    </w:p>
    <w:p w14:paraId="73BDC853" w14:textId="77777777" w:rsidR="00591ED4" w:rsidRPr="00591ED4" w:rsidRDefault="00591ED4" w:rsidP="00591ED4"/>
    <w:p w14:paraId="52BB1FEC" w14:textId="77777777" w:rsidR="00591ED4" w:rsidRPr="00591ED4" w:rsidRDefault="00591ED4" w:rsidP="00591ED4">
      <w:pPr>
        <w:rPr>
          <w:b/>
          <w:bCs/>
        </w:rPr>
      </w:pPr>
      <w:r w:rsidRPr="00591ED4">
        <w:rPr>
          <w:b/>
          <w:bCs/>
        </w:rPr>
        <w:t>Section 6: Comprehensive Financial Analysis</w:t>
      </w:r>
    </w:p>
    <w:p w14:paraId="6FC47FAA" w14:textId="77777777" w:rsidR="00591ED4" w:rsidRPr="00591ED4" w:rsidRDefault="00591ED4" w:rsidP="00591ED4"/>
    <w:p w14:paraId="6062A247" w14:textId="77777777" w:rsidR="00591ED4" w:rsidRPr="00591ED4" w:rsidRDefault="00591ED4" w:rsidP="00591ED4">
      <w:r w:rsidRPr="00591ED4">
        <w:t>The financial architecture of the Trans-National Hyperloop Initiative is designed to support its phased, de-risked execution strategy. The budget is structured to align capital deployment with the progressive retirement of technological and regulatory uncertainties.</w:t>
      </w:r>
    </w:p>
    <w:p w14:paraId="42F87202" w14:textId="77777777" w:rsidR="00591ED4" w:rsidRPr="00591ED4" w:rsidRDefault="00591ED4" w:rsidP="00591ED4"/>
    <w:p w14:paraId="503A8600" w14:textId="77777777" w:rsidR="00591ED4" w:rsidRPr="00591ED4" w:rsidRDefault="00591ED4" w:rsidP="00591ED4">
      <w:pPr>
        <w:rPr>
          <w:b/>
          <w:bCs/>
        </w:rPr>
      </w:pPr>
      <w:r w:rsidRPr="00591ED4">
        <w:rPr>
          <w:b/>
          <w:bCs/>
        </w:rPr>
        <w:t>Total Project Budget</w:t>
      </w:r>
    </w:p>
    <w:p w14:paraId="70338E94" w14:textId="77777777" w:rsidR="00591ED4" w:rsidRPr="00591ED4" w:rsidRDefault="00591ED4" w:rsidP="00591ED4"/>
    <w:p w14:paraId="04F1C924" w14:textId="77777777" w:rsidR="00591ED4" w:rsidRPr="00591ED4" w:rsidRDefault="00591ED4" w:rsidP="00591ED4">
      <w:r w:rsidRPr="00591ED4">
        <w:t xml:space="preserve">Based on a full aggregation of the 'Lump-Sum Cost (USD)' for all 1,557 tasks detailed in the project schedule, the total planned budget for the Trans-National Hyperloop Initiative is </w:t>
      </w:r>
      <w:r w:rsidRPr="00591ED4">
        <w:rPr>
          <w:b/>
          <w:bCs/>
        </w:rPr>
        <w:t>$2,700,000,000</w:t>
      </w:r>
      <w:r w:rsidRPr="00591ED4">
        <w:t>.</w:t>
      </w:r>
      <w:r w:rsidRPr="00591ED4">
        <w:rPr>
          <w:vertAlign w:val="superscript"/>
        </w:rPr>
        <w:t>1</w:t>
      </w:r>
      <w:r w:rsidRPr="00591ED4">
        <w:t xml:space="preserve"> This budget represents the total estimated capital expenditure required to bring the system from its initial conception to full operational readiness, including all costs associated with planning, R&amp;D, construction, and commissioning.</w:t>
      </w:r>
    </w:p>
    <w:p w14:paraId="4ABE29D7" w14:textId="77777777" w:rsidR="00591ED4" w:rsidRPr="00591ED4" w:rsidRDefault="00591ED4" w:rsidP="00591ED4"/>
    <w:p w14:paraId="7C580D0C" w14:textId="77777777" w:rsidR="00591ED4" w:rsidRPr="00591ED4" w:rsidRDefault="00591ED4" w:rsidP="00591ED4">
      <w:pPr>
        <w:rPr>
          <w:b/>
          <w:bCs/>
        </w:rPr>
      </w:pPr>
      <w:r w:rsidRPr="00591ED4">
        <w:rPr>
          <w:b/>
          <w:bCs/>
        </w:rPr>
        <w:t>Cost Allocation by Project Phase</w:t>
      </w:r>
    </w:p>
    <w:p w14:paraId="58F96D6F" w14:textId="77777777" w:rsidR="00591ED4" w:rsidRPr="00591ED4" w:rsidRDefault="00591ED4" w:rsidP="00591ED4"/>
    <w:p w14:paraId="73E820B3" w14:textId="77777777" w:rsidR="00591ED4" w:rsidRPr="00591ED4" w:rsidRDefault="00591ED4" w:rsidP="00591ED4">
      <w:r w:rsidRPr="00591ED4">
        <w:t>The project's financial strategy is characterized by a deliberate and strategic allocation of capital across its major lifecycle phases. Spending is heavily concentrated in the later stages of the project, with significant investment gates preceding each major capital deployment. The table below provides a strategic overview of this allocation, distilling over a thousand individual cost items into a clear, executive-level summary of the project's financial plan.</w:t>
      </w:r>
      <w:r w:rsidRPr="00591ED4">
        <w:rPr>
          <w:vertAlign w:val="superscript"/>
        </w:rPr>
        <w:t>1</w:t>
      </w:r>
    </w:p>
    <w:tbl>
      <w:tblPr>
        <w:tblW w:w="0" w:type="auto"/>
        <w:tblCellMar>
          <w:top w:w="15" w:type="dxa"/>
          <w:left w:w="15" w:type="dxa"/>
          <w:bottom w:w="15" w:type="dxa"/>
          <w:right w:w="15" w:type="dxa"/>
        </w:tblCellMar>
        <w:tblLook w:val="04A0" w:firstRow="1" w:lastRow="0" w:firstColumn="1" w:lastColumn="0" w:noHBand="0" w:noVBand="1"/>
      </w:tblPr>
      <w:tblGrid>
        <w:gridCol w:w="1639"/>
        <w:gridCol w:w="3104"/>
        <w:gridCol w:w="2449"/>
        <w:gridCol w:w="2152"/>
      </w:tblGrid>
      <w:tr w:rsidR="00591ED4" w:rsidRPr="00591ED4" w14:paraId="34D2A47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3B6A04" w14:textId="77777777" w:rsidR="00591ED4" w:rsidRPr="00591ED4" w:rsidRDefault="00591ED4" w:rsidP="00591ED4">
            <w:r w:rsidRPr="00591ED4">
              <w:t>Project Phase (WBS)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5EE004" w14:textId="77777777" w:rsidR="00591ED4" w:rsidRPr="00591ED4" w:rsidRDefault="00591ED4" w:rsidP="00591ED4">
            <w:r w:rsidRPr="00591ED4">
              <w:t>Phase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C4B4A5" w14:textId="77777777" w:rsidR="00591ED4" w:rsidRPr="00591ED4" w:rsidRDefault="00591ED4" w:rsidP="00591ED4">
            <w:r w:rsidRPr="00591ED4">
              <w:t>Total Estimated Cost (USD)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530AD0" w14:textId="77777777" w:rsidR="00591ED4" w:rsidRPr="00591ED4" w:rsidRDefault="00591ED4" w:rsidP="00591ED4">
            <w:r w:rsidRPr="00591ED4">
              <w:t>Percentage of Total Budget</w:t>
            </w:r>
          </w:p>
        </w:tc>
      </w:tr>
      <w:tr w:rsidR="00591ED4" w:rsidRPr="00591ED4" w14:paraId="5EC141E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FCD123" w14:textId="77777777" w:rsidR="00591ED4" w:rsidRPr="00591ED4" w:rsidRDefault="00591ED4" w:rsidP="00591ED4">
            <w:r w:rsidRPr="00591ED4">
              <w:t>WBS 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EFE602" w14:textId="77777777" w:rsidR="00591ED4" w:rsidRPr="00591ED4" w:rsidRDefault="00591ED4" w:rsidP="00591ED4">
            <w:r w:rsidRPr="00591ED4">
              <w:t>Project Initiation and Planning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7C0B4" w14:textId="77777777" w:rsidR="00591ED4" w:rsidRPr="00591ED4" w:rsidRDefault="00591ED4" w:rsidP="00591ED4">
            <w:r w:rsidRPr="00591ED4">
              <w:t>$50,000,000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89B79" w14:textId="77777777" w:rsidR="00591ED4" w:rsidRPr="00591ED4" w:rsidRDefault="00591ED4" w:rsidP="00591ED4">
            <w:r w:rsidRPr="00591ED4">
              <w:t>1.85%</w:t>
            </w:r>
          </w:p>
        </w:tc>
      </w:tr>
      <w:tr w:rsidR="00591ED4" w:rsidRPr="00591ED4" w14:paraId="045DC9D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09352C" w14:textId="77777777" w:rsidR="00591ED4" w:rsidRPr="00591ED4" w:rsidRDefault="00591ED4" w:rsidP="00591ED4">
            <w:r w:rsidRPr="00591ED4">
              <w:lastRenderedPageBreak/>
              <w:t>WBS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49AA0E" w14:textId="77777777" w:rsidR="00591ED4" w:rsidRPr="00591ED4" w:rsidRDefault="00591ED4" w:rsidP="00591ED4">
            <w:r w:rsidRPr="00591ED4">
              <w:t>Environmental and Route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DC974" w14:textId="77777777" w:rsidR="00591ED4" w:rsidRPr="00591ED4" w:rsidRDefault="00591ED4" w:rsidP="00591ED4">
            <w:r w:rsidRPr="00591ED4">
              <w:t>$100,000,000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6566A" w14:textId="77777777" w:rsidR="00591ED4" w:rsidRPr="00591ED4" w:rsidRDefault="00591ED4" w:rsidP="00591ED4">
            <w:r w:rsidRPr="00591ED4">
              <w:t>3.70%</w:t>
            </w:r>
          </w:p>
        </w:tc>
      </w:tr>
      <w:tr w:rsidR="00591ED4" w:rsidRPr="00591ED4" w14:paraId="3343DCC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162DAE" w14:textId="77777777" w:rsidR="00591ED4" w:rsidRPr="00591ED4" w:rsidRDefault="00591ED4" w:rsidP="00591ED4">
            <w:r w:rsidRPr="00591ED4">
              <w:t>WBS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E3327E" w14:textId="77777777" w:rsidR="00591ED4" w:rsidRPr="00591ED4" w:rsidRDefault="00591ED4" w:rsidP="00591ED4">
            <w:r w:rsidRPr="00591ED4">
              <w:t>Test Track Development &amp; Prototyping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14F427" w14:textId="77777777" w:rsidR="00591ED4" w:rsidRPr="00591ED4" w:rsidRDefault="00591ED4" w:rsidP="00591ED4">
            <w:r w:rsidRPr="00591ED4">
              <w:t>$500,000,000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E730B2" w14:textId="77777777" w:rsidR="00591ED4" w:rsidRPr="00591ED4" w:rsidRDefault="00591ED4" w:rsidP="00591ED4">
            <w:r w:rsidRPr="00591ED4">
              <w:t>18.52%</w:t>
            </w:r>
          </w:p>
        </w:tc>
      </w:tr>
      <w:tr w:rsidR="00591ED4" w:rsidRPr="00591ED4" w14:paraId="07FB216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7A90E5" w14:textId="77777777" w:rsidR="00591ED4" w:rsidRPr="00591ED4" w:rsidRDefault="00591ED4" w:rsidP="00591ED4">
            <w:r w:rsidRPr="00591ED4">
              <w:t>WBS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1574A9" w14:textId="77777777" w:rsidR="00591ED4" w:rsidRPr="00591ED4" w:rsidRDefault="00591ED4" w:rsidP="00591ED4">
            <w:r w:rsidRPr="00591ED4">
              <w:t>Main Line &amp; Station Construction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95E92" w14:textId="77777777" w:rsidR="00591ED4" w:rsidRPr="00591ED4" w:rsidRDefault="00591ED4" w:rsidP="00591ED4">
            <w:r w:rsidRPr="00591ED4">
              <w:t>$1,850,000,000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DE587" w14:textId="77777777" w:rsidR="00591ED4" w:rsidRPr="00591ED4" w:rsidRDefault="00591ED4" w:rsidP="00591ED4">
            <w:r w:rsidRPr="00591ED4">
              <w:t>68.52%</w:t>
            </w:r>
          </w:p>
        </w:tc>
      </w:tr>
      <w:tr w:rsidR="00591ED4" w:rsidRPr="00591ED4" w14:paraId="6F6057C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CDFC1" w14:textId="77777777" w:rsidR="00591ED4" w:rsidRPr="00591ED4" w:rsidRDefault="00591ED4" w:rsidP="00591ED4">
            <w:r w:rsidRPr="00591ED4">
              <w:t>WBS 4 &amp; 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60D490" w14:textId="77777777" w:rsidR="00591ED4" w:rsidRPr="00591ED4" w:rsidRDefault="00591ED4" w:rsidP="00591ED4">
            <w:r w:rsidRPr="00591ED4">
              <w:t>Expansion Planning &amp; Operational Readiness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C79645" w14:textId="77777777" w:rsidR="00591ED4" w:rsidRPr="00591ED4" w:rsidRDefault="00591ED4" w:rsidP="00591ED4">
            <w:r w:rsidRPr="00591ED4">
              <w:t>$200,000,000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DC9580" w14:textId="77777777" w:rsidR="00591ED4" w:rsidRPr="00591ED4" w:rsidRDefault="00591ED4" w:rsidP="00591ED4">
            <w:r w:rsidRPr="00591ED4">
              <w:t>7.41%</w:t>
            </w:r>
          </w:p>
        </w:tc>
      </w:tr>
      <w:tr w:rsidR="00591ED4" w:rsidRPr="00591ED4" w14:paraId="2977501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14F02B" w14:textId="77777777" w:rsidR="00591ED4" w:rsidRPr="00591ED4" w:rsidRDefault="00591ED4" w:rsidP="00591ED4">
            <w:r w:rsidRPr="00591ED4">
              <w:rPr>
                <w:b/>
                <w:bCs/>
              </w:rPr>
              <w:t>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4E9156" w14:textId="77777777" w:rsidR="00591ED4" w:rsidRPr="00591ED4" w:rsidRDefault="00591ED4" w:rsidP="00591ED4"/>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2A89C7" w14:textId="77777777" w:rsidR="00591ED4" w:rsidRPr="00591ED4" w:rsidRDefault="00591ED4" w:rsidP="00591ED4">
            <w:r w:rsidRPr="00591ED4">
              <w:rPr>
                <w:b/>
                <w:bCs/>
              </w:rPr>
              <w:t>$2,700,000,000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F46299" w14:textId="77777777" w:rsidR="00591ED4" w:rsidRPr="00591ED4" w:rsidRDefault="00591ED4" w:rsidP="00591ED4">
            <w:r w:rsidRPr="00591ED4">
              <w:rPr>
                <w:b/>
                <w:bCs/>
              </w:rPr>
              <w:t>100.00%</w:t>
            </w:r>
          </w:p>
        </w:tc>
      </w:tr>
    </w:tbl>
    <w:p w14:paraId="61493BC7" w14:textId="77777777" w:rsidR="00591ED4" w:rsidRPr="00591ED4" w:rsidRDefault="00591ED4" w:rsidP="00591ED4">
      <w:r w:rsidRPr="00591ED4">
        <w:t>This financial structure is not merely an accounting exercise; it is a direct reflection of the project's risk management philosophy. A substantial portion of the total budget—over 24%, or $650 million—is allocated to the pre-construction phases (WBS 0, 1, and 2). In a conventional infrastructure project, where the technology is mature, these upfront costs typically represent a much smaller fraction of the total.</w:t>
      </w:r>
    </w:p>
    <w:p w14:paraId="518739ED" w14:textId="77777777" w:rsidR="00591ED4" w:rsidRPr="00591ED4" w:rsidRDefault="00591ED4" w:rsidP="00591ED4">
      <w:r w:rsidRPr="00591ED4">
        <w:t xml:space="preserve">This significant upfront investment represents a calculated "de-risking premium." The project sponsors are consciously choosing to spend heavily at the outset to obtain definitive answers to the most critical questions: Will </w:t>
      </w:r>
      <w:proofErr w:type="gramStart"/>
      <w:r w:rsidRPr="00591ED4">
        <w:t>the technology</w:t>
      </w:r>
      <w:proofErr w:type="gramEnd"/>
      <w:r w:rsidRPr="00591ED4">
        <w:t xml:space="preserve"> perform safely and reliably </w:t>
      </w:r>
      <w:proofErr w:type="gramStart"/>
      <w:r w:rsidRPr="00591ED4">
        <w:t>at</w:t>
      </w:r>
      <w:proofErr w:type="gramEnd"/>
      <w:r w:rsidRPr="00591ED4">
        <w:t xml:space="preserve"> scale? Can the necessary permits be secured across multiple jurisdictions? Is the geological and environmental landscape suitable for construction? The $500 million investment in the Test Track (WBS 2), for example, is not a cost to be minimized but a strategic investment to protect the far larger $1.85 billion investment in the main line (WBS 3). This approach ensures that the largest capital commitments are made only after the most significant technological and regulatory risks have been retired. This financial plan, therefore, must be presented to investors not just on the basis of the final construction cost, but on the value and prudence of this de-risking premium, which makes the entire multi-billion-dollar venture justifiable and financeable.</w:t>
      </w:r>
    </w:p>
    <w:p w14:paraId="4BC623DF" w14:textId="77777777" w:rsidR="00591ED4" w:rsidRPr="00591ED4" w:rsidRDefault="00591ED4" w:rsidP="00591ED4"/>
    <w:p w14:paraId="0B5AF5A3" w14:textId="77777777" w:rsidR="00591ED4" w:rsidRPr="00591ED4" w:rsidRDefault="00591ED4" w:rsidP="00591ED4">
      <w:pPr>
        <w:rPr>
          <w:b/>
          <w:bCs/>
        </w:rPr>
      </w:pPr>
      <w:r w:rsidRPr="00591ED4">
        <w:rPr>
          <w:b/>
          <w:bCs/>
        </w:rPr>
        <w:t>Section 7: Project Statistics, Monitoring, and Critical Path Analysis</w:t>
      </w:r>
    </w:p>
    <w:p w14:paraId="3B8E169A" w14:textId="77777777" w:rsidR="00591ED4" w:rsidRPr="00591ED4" w:rsidRDefault="00591ED4" w:rsidP="00591ED4"/>
    <w:p w14:paraId="5505E81D" w14:textId="77777777" w:rsidR="00591ED4" w:rsidRPr="00591ED4" w:rsidRDefault="00591ED4" w:rsidP="00591ED4">
      <w:r w:rsidRPr="00591ED4">
        <w:lastRenderedPageBreak/>
        <w:t>Rigorous project controls, continuous monitoring against a defined baseline, and a deep understanding of the project's critical path are essential for navigating the complexities of this initiative.</w:t>
      </w:r>
    </w:p>
    <w:p w14:paraId="5EA67607" w14:textId="77777777" w:rsidR="00591ED4" w:rsidRPr="00591ED4" w:rsidRDefault="00591ED4" w:rsidP="00591ED4"/>
    <w:p w14:paraId="330ACE0D" w14:textId="77777777" w:rsidR="00591ED4" w:rsidRPr="00591ED4" w:rsidRDefault="00591ED4" w:rsidP="00591ED4">
      <w:pPr>
        <w:rPr>
          <w:b/>
          <w:bCs/>
        </w:rPr>
      </w:pPr>
      <w:r w:rsidRPr="00591ED4">
        <w:rPr>
          <w:b/>
          <w:bCs/>
        </w:rPr>
        <w:t>Project Statistics and Baseline</w:t>
      </w:r>
    </w:p>
    <w:p w14:paraId="408F8497" w14:textId="77777777" w:rsidR="00591ED4" w:rsidRPr="00591ED4" w:rsidRDefault="00591ED4" w:rsidP="00591ED4"/>
    <w:p w14:paraId="5CDE73B7" w14:textId="77777777" w:rsidR="00591ED4" w:rsidRPr="00591ED4" w:rsidRDefault="00591ED4" w:rsidP="00591ED4">
      <w:r w:rsidRPr="00591ED4">
        <w:t xml:space="preserve">All project performance </w:t>
      </w:r>
      <w:proofErr w:type="gramStart"/>
      <w:r w:rsidRPr="00591ED4">
        <w:t>metrics—</w:t>
      </w:r>
      <w:proofErr w:type="gramEnd"/>
      <w:r w:rsidRPr="00591ED4">
        <w:t xml:space="preserve">including schedule adherence, cost variance, and resource </w:t>
      </w:r>
      <w:proofErr w:type="gramStart"/>
      <w:r w:rsidRPr="00591ED4">
        <w:t>utilization—</w:t>
      </w:r>
      <w:proofErr w:type="gramEnd"/>
      <w:r w:rsidRPr="00591ED4">
        <w:t>will be tracked against the integrated project baseline defined in the hyperloop_extreme_granular_with_costs.csv file.</w:t>
      </w:r>
      <w:r w:rsidRPr="00591ED4">
        <w:rPr>
          <w:vertAlign w:val="superscript"/>
        </w:rPr>
        <w:t>1</w:t>
      </w:r>
      <w:r w:rsidRPr="00591ED4">
        <w:t xml:space="preserve"> This document, containing the full Work Breakdown Structure, serves as the single source of truth for performance measurement, enabling the use of Earned Value Management (EVM) and other advanced project control techniques.</w:t>
      </w:r>
    </w:p>
    <w:p w14:paraId="5D0A0BAB" w14:textId="77777777" w:rsidR="00591ED4" w:rsidRPr="00591ED4" w:rsidRDefault="00591ED4" w:rsidP="00591ED4"/>
    <w:p w14:paraId="656E974E" w14:textId="77777777" w:rsidR="00591ED4" w:rsidRPr="00591ED4" w:rsidRDefault="00591ED4" w:rsidP="00591ED4">
      <w:pPr>
        <w:rPr>
          <w:b/>
          <w:bCs/>
        </w:rPr>
      </w:pPr>
      <w:r w:rsidRPr="00591ED4">
        <w:rPr>
          <w:b/>
          <w:bCs/>
        </w:rPr>
        <w:t>Monitoring &amp; Deviations</w:t>
      </w:r>
    </w:p>
    <w:p w14:paraId="5EAF72A9" w14:textId="77777777" w:rsidR="00591ED4" w:rsidRPr="00591ED4" w:rsidRDefault="00591ED4" w:rsidP="00591ED4"/>
    <w:p w14:paraId="0BCEA9BF" w14:textId="77777777" w:rsidR="00591ED4" w:rsidRPr="00591ED4" w:rsidRDefault="00591ED4" w:rsidP="00591ED4">
      <w:r w:rsidRPr="00591ED4">
        <w:t>Progress will be monitored through the consistent tracking of key project milestones, which act as gateways between major phases and decision points for sponsors and investors.</w:t>
      </w:r>
    </w:p>
    <w:p w14:paraId="1252AA87" w14:textId="77777777" w:rsidR="00591ED4" w:rsidRPr="00591ED4" w:rsidRDefault="00591ED4" w:rsidP="00591ED4">
      <w:pPr>
        <w:numPr>
          <w:ilvl w:val="0"/>
          <w:numId w:val="23"/>
        </w:numPr>
      </w:pPr>
      <w:r w:rsidRPr="00591ED4">
        <w:rPr>
          <w:b/>
          <w:bCs/>
        </w:rPr>
        <w:t>Major Milestones:</w:t>
      </w:r>
    </w:p>
    <w:p w14:paraId="0864C1FB" w14:textId="77777777" w:rsidR="00591ED4" w:rsidRPr="00591ED4" w:rsidRDefault="00591ED4" w:rsidP="00591ED4">
      <w:pPr>
        <w:numPr>
          <w:ilvl w:val="0"/>
          <w:numId w:val="24"/>
        </w:numPr>
      </w:pPr>
      <w:r w:rsidRPr="00591ED4">
        <w:rPr>
          <w:b/>
          <w:bCs/>
        </w:rPr>
        <w:t>Completion of Pre-Feasibility Report (ID 9):</w:t>
      </w:r>
      <w:r w:rsidRPr="00591ED4">
        <w:t xml:space="preserve"> Marks the initial validation of the project concept.</w:t>
      </w:r>
    </w:p>
    <w:p w14:paraId="1C7271DC" w14:textId="77777777" w:rsidR="00591ED4" w:rsidRPr="00591ED4" w:rsidRDefault="00591ED4" w:rsidP="00591ED4">
      <w:pPr>
        <w:numPr>
          <w:ilvl w:val="0"/>
          <w:numId w:val="24"/>
        </w:numPr>
      </w:pPr>
      <w:proofErr w:type="gramStart"/>
      <w:r w:rsidRPr="00591ED4">
        <w:rPr>
          <w:b/>
          <w:bCs/>
        </w:rPr>
        <w:t>Securing of</w:t>
      </w:r>
      <w:proofErr w:type="gramEnd"/>
      <w:r w:rsidRPr="00591ED4">
        <w:rPr>
          <w:b/>
          <w:bCs/>
        </w:rPr>
        <w:t xml:space="preserve"> Initial Funding Commitments (ID 7):</w:t>
      </w:r>
      <w:r w:rsidRPr="00591ED4">
        <w:t xml:space="preserve"> Confirms the financial viability to proceed with detailed planning.</w:t>
      </w:r>
    </w:p>
    <w:p w14:paraId="6D86B6D2" w14:textId="77777777" w:rsidR="00591ED4" w:rsidRPr="00591ED4" w:rsidRDefault="00591ED4" w:rsidP="00591ED4">
      <w:pPr>
        <w:numPr>
          <w:ilvl w:val="0"/>
          <w:numId w:val="24"/>
        </w:numPr>
      </w:pPr>
      <w:r w:rsidRPr="00591ED4">
        <w:rPr>
          <w:b/>
          <w:bCs/>
        </w:rPr>
        <w:t>Submission of all National-Level Permit Applications (ID 175):</w:t>
      </w:r>
      <w:r w:rsidRPr="00591ED4">
        <w:t xml:space="preserve"> A critical regulatory gatepost.</w:t>
      </w:r>
    </w:p>
    <w:p w14:paraId="64209571" w14:textId="77777777" w:rsidR="00591ED4" w:rsidRPr="00591ED4" w:rsidRDefault="00591ED4" w:rsidP="00591ED4">
      <w:pPr>
        <w:numPr>
          <w:ilvl w:val="0"/>
          <w:numId w:val="24"/>
        </w:numPr>
      </w:pPr>
      <w:r w:rsidRPr="00591ED4">
        <w:rPr>
          <w:b/>
          <w:bCs/>
        </w:rPr>
        <w:t>Successful Commissioning of Test Track (ID 398):</w:t>
      </w:r>
      <w:r w:rsidRPr="00591ED4">
        <w:t xml:space="preserve"> The single most important technical milestone, signifying the validation of the core technology.</w:t>
      </w:r>
    </w:p>
    <w:p w14:paraId="5111F354" w14:textId="77777777" w:rsidR="00591ED4" w:rsidRPr="00591ED4" w:rsidRDefault="00591ED4" w:rsidP="00591ED4">
      <w:pPr>
        <w:numPr>
          <w:ilvl w:val="0"/>
          <w:numId w:val="24"/>
        </w:numPr>
      </w:pPr>
      <w:r w:rsidRPr="00591ED4">
        <w:rPr>
          <w:b/>
          <w:bCs/>
        </w:rPr>
        <w:t>Commencement of Main Line Construction (ID 399):</w:t>
      </w:r>
      <w:r w:rsidRPr="00591ED4">
        <w:t xml:space="preserve"> The point of maximum capital commitment.</w:t>
      </w:r>
    </w:p>
    <w:p w14:paraId="38B0D135" w14:textId="77777777" w:rsidR="00591ED4" w:rsidRPr="00591ED4" w:rsidRDefault="00591ED4" w:rsidP="00591ED4">
      <w:pPr>
        <w:numPr>
          <w:ilvl w:val="0"/>
          <w:numId w:val="24"/>
        </w:numPr>
      </w:pPr>
      <w:r w:rsidRPr="00591ED4">
        <w:rPr>
          <w:b/>
          <w:bCs/>
        </w:rPr>
        <w:t>Completion of First 10 Construction Zones:</w:t>
      </w:r>
      <w:r w:rsidRPr="00591ED4">
        <w:t xml:space="preserve"> An early indicator of the project's construction velocity and efficiency.</w:t>
      </w:r>
    </w:p>
    <w:p w14:paraId="7256A31C" w14:textId="77777777" w:rsidR="00591ED4" w:rsidRPr="00591ED4" w:rsidRDefault="00591ED4" w:rsidP="00591ED4">
      <w:pPr>
        <w:numPr>
          <w:ilvl w:val="0"/>
          <w:numId w:val="24"/>
        </w:numPr>
      </w:pPr>
      <w:r w:rsidRPr="00591ED4">
        <w:rPr>
          <w:b/>
          <w:bCs/>
        </w:rPr>
        <w:lastRenderedPageBreak/>
        <w:t>Commissioning of First Main Line Station:</w:t>
      </w:r>
      <w:r w:rsidRPr="00591ED4">
        <w:t xml:space="preserve"> A key milestone for demonstrating progress towards operational readiness.</w:t>
      </w:r>
    </w:p>
    <w:p w14:paraId="00BC669B" w14:textId="77777777" w:rsidR="00591ED4" w:rsidRPr="00591ED4" w:rsidRDefault="00591ED4" w:rsidP="00591ED4">
      <w:pPr>
        <w:numPr>
          <w:ilvl w:val="0"/>
          <w:numId w:val="25"/>
        </w:numPr>
      </w:pPr>
      <w:r w:rsidRPr="00591ED4">
        <w:rPr>
          <w:b/>
          <w:bCs/>
        </w:rPr>
        <w:t>Significant Deviation Scenario:</w:t>
      </w:r>
      <w:r w:rsidRPr="00591ED4">
        <w:t xml:space="preserve"> A critical risk to the project schedule is the potential failure to achieve timely cross-border regulatory alignment for safety and operational standards. A significant delay in the "Preliminary governance treaty outreach" (ID 18) or the "Cross-border regulatory alignment workshops" (ID 176) could halt the project indefinitely, as a system that cannot operate seamlessly across borders has fundamentally diminished value.</w:t>
      </w:r>
      <w:r w:rsidRPr="00591ED4">
        <w:rPr>
          <w:vertAlign w:val="superscript"/>
        </w:rPr>
        <w:t>1</w:t>
      </w:r>
    </w:p>
    <w:p w14:paraId="56B8FE7B" w14:textId="77777777" w:rsidR="00591ED4" w:rsidRPr="00591ED4" w:rsidRDefault="00591ED4" w:rsidP="00591ED4">
      <w:pPr>
        <w:numPr>
          <w:ilvl w:val="0"/>
          <w:numId w:val="25"/>
        </w:numPr>
      </w:pPr>
      <w:r w:rsidRPr="00591ED4">
        <w:rPr>
          <w:b/>
          <w:bCs/>
        </w:rPr>
        <w:t>Mitigation Plan:</w:t>
      </w:r>
      <w:r w:rsidRPr="00591ED4">
        <w:t xml:space="preserve"> This risk is mitigated through a proactive, parallel-track strategy. A dedicated government affairs team will work in close coordination with the technical teams from the project's inception. The plan involves establishing joint working groups with regulators from all relevant jurisdictions at the very start of the project, providing them with full, transparent access to all safety and performance data generated from the Test Track (WBS 2), and proactively drafting model legislation to facilitate rapid review and adoption into national law.</w:t>
      </w:r>
    </w:p>
    <w:p w14:paraId="12079B0A" w14:textId="77777777" w:rsidR="00591ED4" w:rsidRPr="00591ED4" w:rsidRDefault="00591ED4" w:rsidP="00591ED4"/>
    <w:p w14:paraId="48D39238" w14:textId="77777777" w:rsidR="00591ED4" w:rsidRPr="00591ED4" w:rsidRDefault="00591ED4" w:rsidP="00591ED4">
      <w:pPr>
        <w:rPr>
          <w:b/>
          <w:bCs/>
        </w:rPr>
      </w:pPr>
      <w:r w:rsidRPr="00591ED4">
        <w:rPr>
          <w:b/>
          <w:bCs/>
        </w:rPr>
        <w:t>Critical Path Identification</w:t>
      </w:r>
    </w:p>
    <w:p w14:paraId="779D4209" w14:textId="77777777" w:rsidR="00591ED4" w:rsidRPr="00591ED4" w:rsidRDefault="00591ED4" w:rsidP="00591ED4"/>
    <w:p w14:paraId="66FB4F59" w14:textId="77777777" w:rsidR="00591ED4" w:rsidRPr="00591ED4" w:rsidRDefault="00591ED4" w:rsidP="00591ED4">
      <w:r w:rsidRPr="00591ED4">
        <w:t>A detailed analysis of the project schedule using the Critical Path Method (CPM) reveals a multi-stage critical path that evolves with the project's lifecycle.</w:t>
      </w:r>
    </w:p>
    <w:p w14:paraId="522001BE" w14:textId="77777777" w:rsidR="00591ED4" w:rsidRPr="00591ED4" w:rsidRDefault="00591ED4" w:rsidP="00591ED4">
      <w:pPr>
        <w:numPr>
          <w:ilvl w:val="0"/>
          <w:numId w:val="26"/>
        </w:numPr>
      </w:pPr>
      <w:r w:rsidRPr="00591ED4">
        <w:rPr>
          <w:b/>
          <w:bCs/>
        </w:rPr>
        <w:t>Phase 1 (Initiation to Test Track):</w:t>
      </w:r>
      <w:r w:rsidRPr="00591ED4">
        <w:t xml:space="preserve"> In the early phases (WBS 0, 1, and 2), the critical path is largely sequential. It runs through the core planning, legal, funding, and assessment tasks before proceeding through the entire sequence of the Test Track's design, build, and commissioning. The 240-day "Test track tube manufacturing prototype" (ID 181) and the 300-day "Pod prototype manufacture #1" (ID 183) are notable long-duration tasks that will require intense management focus.</w:t>
      </w:r>
      <w:r w:rsidRPr="00591ED4">
        <w:rPr>
          <w:vertAlign w:val="superscript"/>
        </w:rPr>
        <w:t>1</w:t>
      </w:r>
      <w:r w:rsidRPr="00591ED4">
        <w:t xml:space="preserve"> Any delay in these foundational activities or in the technology validation process will directly and irrevocably delay the start of the entire main line construction phase.</w:t>
      </w:r>
    </w:p>
    <w:p w14:paraId="30EFABE4" w14:textId="77777777" w:rsidR="00591ED4" w:rsidRPr="00591ED4" w:rsidRDefault="00591ED4" w:rsidP="00591ED4">
      <w:pPr>
        <w:numPr>
          <w:ilvl w:val="0"/>
          <w:numId w:val="26"/>
        </w:numPr>
      </w:pPr>
      <w:r w:rsidRPr="00591ED4">
        <w:rPr>
          <w:b/>
          <w:bCs/>
        </w:rPr>
        <w:t>Phase 2 (Main Line Construction):</w:t>
      </w:r>
      <w:r w:rsidRPr="00591ED4">
        <w:t xml:space="preserve"> Once WBS 3 begins, the execution model shifts dramatically to massive parallelization. The construction activities for each of the 60+ zones (e.g., Zone 1 tasks ID 399-414 vs. Zone 2 tasks ID 415-430) and the 12 stations are scheduled to run concurrently, each forming its own sub-network of tasks.</w:t>
      </w:r>
      <w:r w:rsidRPr="00591ED4">
        <w:rPr>
          <w:vertAlign w:val="superscript"/>
        </w:rPr>
        <w:t>1</w:t>
      </w:r>
      <w:r w:rsidRPr="00591ED4">
        <w:t xml:space="preserve"> In this phase, the project's critical path is no longer a single chain of tasks but is determined by the</w:t>
      </w:r>
      <w:r w:rsidRPr="00591ED4">
        <w:br/>
      </w:r>
      <w:r w:rsidRPr="00591ED4">
        <w:rPr>
          <w:i/>
          <w:iCs/>
        </w:rPr>
        <w:lastRenderedPageBreak/>
        <w:t>longest individual end-to-end construction sequence for a single zone or station</w:t>
      </w:r>
      <w:r w:rsidRPr="00591ED4">
        <w:t xml:space="preserve">. Therefore, management focus must shift from managing a single sequence to identifying and resolving systemic bottlenecks that could delay progress across </w:t>
      </w:r>
      <w:r w:rsidRPr="00591ED4">
        <w:rPr>
          <w:i/>
          <w:iCs/>
        </w:rPr>
        <w:t>all</w:t>
      </w:r>
      <w:r w:rsidRPr="00591ED4">
        <w:t xml:space="preserve"> parallel workstreams. A supply chain failure in tube manufacturing, a shortage of specialized welding teams, or a flaw in pylon fabrication would represent such a systemic risk, effectively delaying the entire project. The final critical path will be defined by </w:t>
      </w:r>
      <w:proofErr w:type="gramStart"/>
      <w:r w:rsidRPr="00591ED4">
        <w:t>the integration</w:t>
      </w:r>
      <w:proofErr w:type="gramEnd"/>
      <w:r w:rsidRPr="00591ED4">
        <w:t>, testing, and system-wide commissioning activities that can only occur after all parallel construction is complete.</w:t>
      </w:r>
    </w:p>
    <w:p w14:paraId="75A229CF" w14:textId="77777777" w:rsidR="00591ED4" w:rsidRPr="00591ED4" w:rsidRDefault="00591ED4" w:rsidP="00591ED4">
      <w:pPr>
        <w:rPr>
          <w:b/>
          <w:bCs/>
        </w:rPr>
      </w:pPr>
      <w:r w:rsidRPr="00591ED4">
        <w:rPr>
          <w:b/>
          <w:bCs/>
        </w:rPr>
        <w:t>Works cited</w:t>
      </w:r>
    </w:p>
    <w:p w14:paraId="692ADE30" w14:textId="77777777" w:rsidR="00591ED4" w:rsidRPr="00591ED4" w:rsidRDefault="00591ED4" w:rsidP="00591ED4">
      <w:pPr>
        <w:numPr>
          <w:ilvl w:val="0"/>
          <w:numId w:val="27"/>
        </w:numPr>
      </w:pPr>
      <w:r w:rsidRPr="00591ED4">
        <w:t>hyperloop_extreme_granular_with_costs.csv</w:t>
      </w:r>
    </w:p>
    <w:p w14:paraId="15C9C92A" w14:textId="77777777" w:rsidR="00681D29" w:rsidRPr="00591ED4" w:rsidRDefault="00681D29" w:rsidP="00591ED4"/>
    <w:sectPr w:rsidR="00681D29" w:rsidRPr="00591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E8B"/>
    <w:multiLevelType w:val="multilevel"/>
    <w:tmpl w:val="FD9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E78EE"/>
    <w:multiLevelType w:val="multilevel"/>
    <w:tmpl w:val="10DA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91426"/>
    <w:multiLevelType w:val="multilevel"/>
    <w:tmpl w:val="674C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B2D63"/>
    <w:multiLevelType w:val="multilevel"/>
    <w:tmpl w:val="F3B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B32FC"/>
    <w:multiLevelType w:val="multilevel"/>
    <w:tmpl w:val="33E6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513368"/>
    <w:multiLevelType w:val="multilevel"/>
    <w:tmpl w:val="9A5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E4917"/>
    <w:multiLevelType w:val="multilevel"/>
    <w:tmpl w:val="67A2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11580"/>
    <w:multiLevelType w:val="multilevel"/>
    <w:tmpl w:val="E28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97AF2"/>
    <w:multiLevelType w:val="multilevel"/>
    <w:tmpl w:val="D618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50941"/>
    <w:multiLevelType w:val="multilevel"/>
    <w:tmpl w:val="83CA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F04B1"/>
    <w:multiLevelType w:val="multilevel"/>
    <w:tmpl w:val="338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15892"/>
    <w:multiLevelType w:val="multilevel"/>
    <w:tmpl w:val="2DB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E2727"/>
    <w:multiLevelType w:val="multilevel"/>
    <w:tmpl w:val="6C4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27049"/>
    <w:multiLevelType w:val="multilevel"/>
    <w:tmpl w:val="C03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035EA"/>
    <w:multiLevelType w:val="multilevel"/>
    <w:tmpl w:val="FF5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383167">
    <w:abstractNumId w:val="8"/>
  </w:num>
  <w:num w:numId="2" w16cid:durableId="956175865">
    <w:abstractNumId w:val="8"/>
    <w:lvlOverride w:ilvl="1">
      <w:lvl w:ilvl="1">
        <w:numFmt w:val="bullet"/>
        <w:lvlText w:val=""/>
        <w:lvlJc w:val="left"/>
        <w:pPr>
          <w:tabs>
            <w:tab w:val="num" w:pos="1440"/>
          </w:tabs>
          <w:ind w:left="1440" w:hanging="360"/>
        </w:pPr>
        <w:rPr>
          <w:rFonts w:ascii="Symbol" w:hAnsi="Symbol" w:hint="default"/>
          <w:sz w:val="20"/>
        </w:rPr>
      </w:lvl>
    </w:lvlOverride>
  </w:num>
  <w:num w:numId="3" w16cid:durableId="410977961">
    <w:abstractNumId w:val="8"/>
    <w:lvlOverride w:ilvl="1">
      <w:lvl w:ilvl="1">
        <w:numFmt w:val="bullet"/>
        <w:lvlText w:val=""/>
        <w:lvlJc w:val="left"/>
        <w:pPr>
          <w:tabs>
            <w:tab w:val="num" w:pos="1440"/>
          </w:tabs>
          <w:ind w:left="1440" w:hanging="360"/>
        </w:pPr>
        <w:rPr>
          <w:rFonts w:ascii="Symbol" w:hAnsi="Symbol" w:hint="default"/>
          <w:sz w:val="20"/>
        </w:rPr>
      </w:lvl>
    </w:lvlOverride>
  </w:num>
  <w:num w:numId="4" w16cid:durableId="1495993471">
    <w:abstractNumId w:val="8"/>
    <w:lvlOverride w:ilvl="1">
      <w:lvl w:ilvl="1">
        <w:numFmt w:val="bullet"/>
        <w:lvlText w:val=""/>
        <w:lvlJc w:val="left"/>
        <w:pPr>
          <w:tabs>
            <w:tab w:val="num" w:pos="1440"/>
          </w:tabs>
          <w:ind w:left="1440" w:hanging="360"/>
        </w:pPr>
        <w:rPr>
          <w:rFonts w:ascii="Symbol" w:hAnsi="Symbol" w:hint="default"/>
          <w:sz w:val="20"/>
        </w:rPr>
      </w:lvl>
    </w:lvlOverride>
  </w:num>
  <w:num w:numId="5" w16cid:durableId="1603145816">
    <w:abstractNumId w:val="8"/>
    <w:lvlOverride w:ilvl="1">
      <w:lvl w:ilvl="1">
        <w:numFmt w:val="bullet"/>
        <w:lvlText w:val=""/>
        <w:lvlJc w:val="left"/>
        <w:pPr>
          <w:tabs>
            <w:tab w:val="num" w:pos="1440"/>
          </w:tabs>
          <w:ind w:left="1440" w:hanging="360"/>
        </w:pPr>
        <w:rPr>
          <w:rFonts w:ascii="Symbol" w:hAnsi="Symbol" w:hint="default"/>
          <w:sz w:val="20"/>
        </w:rPr>
      </w:lvl>
    </w:lvlOverride>
  </w:num>
  <w:num w:numId="6" w16cid:durableId="843059043">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46883474">
    <w:abstractNumId w:val="8"/>
    <w:lvlOverride w:ilvl="1">
      <w:lvl w:ilvl="1">
        <w:numFmt w:val="bullet"/>
        <w:lvlText w:val=""/>
        <w:lvlJc w:val="left"/>
        <w:pPr>
          <w:tabs>
            <w:tab w:val="num" w:pos="1440"/>
          </w:tabs>
          <w:ind w:left="1440" w:hanging="360"/>
        </w:pPr>
        <w:rPr>
          <w:rFonts w:ascii="Symbol" w:hAnsi="Symbol" w:hint="default"/>
          <w:sz w:val="20"/>
        </w:rPr>
      </w:lvl>
    </w:lvlOverride>
  </w:num>
  <w:num w:numId="8" w16cid:durableId="146869490">
    <w:abstractNumId w:val="8"/>
    <w:lvlOverride w:ilvl="1">
      <w:lvl w:ilvl="1">
        <w:numFmt w:val="bullet"/>
        <w:lvlText w:val=""/>
        <w:lvlJc w:val="left"/>
        <w:pPr>
          <w:tabs>
            <w:tab w:val="num" w:pos="1440"/>
          </w:tabs>
          <w:ind w:left="1440" w:hanging="360"/>
        </w:pPr>
        <w:rPr>
          <w:rFonts w:ascii="Symbol" w:hAnsi="Symbol" w:hint="default"/>
          <w:sz w:val="20"/>
        </w:rPr>
      </w:lvl>
    </w:lvlOverride>
  </w:num>
  <w:num w:numId="9" w16cid:durableId="1441489172">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16cid:durableId="2020741351">
    <w:abstractNumId w:val="8"/>
    <w:lvlOverride w:ilvl="1">
      <w:lvl w:ilvl="1">
        <w:numFmt w:val="bullet"/>
        <w:lvlText w:val=""/>
        <w:lvlJc w:val="left"/>
        <w:pPr>
          <w:tabs>
            <w:tab w:val="num" w:pos="1440"/>
          </w:tabs>
          <w:ind w:left="1440" w:hanging="360"/>
        </w:pPr>
        <w:rPr>
          <w:rFonts w:ascii="Symbol" w:hAnsi="Symbol" w:hint="default"/>
          <w:sz w:val="20"/>
        </w:rPr>
      </w:lvl>
    </w:lvlOverride>
  </w:num>
  <w:num w:numId="11" w16cid:durableId="1129977908">
    <w:abstractNumId w:val="11"/>
  </w:num>
  <w:num w:numId="12" w16cid:durableId="104035653">
    <w:abstractNumId w:val="12"/>
  </w:num>
  <w:num w:numId="13" w16cid:durableId="1854221892">
    <w:abstractNumId w:val="3"/>
  </w:num>
  <w:num w:numId="14" w16cid:durableId="1566406759">
    <w:abstractNumId w:val="5"/>
  </w:num>
  <w:num w:numId="15" w16cid:durableId="1439132595">
    <w:abstractNumId w:val="10"/>
  </w:num>
  <w:num w:numId="16" w16cid:durableId="1922137216">
    <w:abstractNumId w:val="14"/>
  </w:num>
  <w:num w:numId="17" w16cid:durableId="88429604">
    <w:abstractNumId w:val="0"/>
  </w:num>
  <w:num w:numId="18" w16cid:durableId="19885768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4699082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55786480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25744754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879439872">
    <w:abstractNumId w:val="13"/>
  </w:num>
  <w:num w:numId="23" w16cid:durableId="885801997">
    <w:abstractNumId w:val="6"/>
  </w:num>
  <w:num w:numId="24" w16cid:durableId="90055456">
    <w:abstractNumId w:val="9"/>
  </w:num>
  <w:num w:numId="25" w16cid:durableId="485244088">
    <w:abstractNumId w:val="7"/>
  </w:num>
  <w:num w:numId="26" w16cid:durableId="65417216">
    <w:abstractNumId w:val="1"/>
  </w:num>
  <w:num w:numId="27" w16cid:durableId="1327826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AA"/>
    <w:rsid w:val="00071FAA"/>
    <w:rsid w:val="00084A1B"/>
    <w:rsid w:val="001C66C0"/>
    <w:rsid w:val="002006C8"/>
    <w:rsid w:val="00591ED4"/>
    <w:rsid w:val="005C5C38"/>
    <w:rsid w:val="00681D29"/>
    <w:rsid w:val="008B2842"/>
    <w:rsid w:val="00A24FAF"/>
    <w:rsid w:val="00A569AD"/>
    <w:rsid w:val="00C81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945A"/>
  <w15:chartTrackingRefBased/>
  <w15:docId w15:val="{B6442997-ADC4-4721-B618-AF5F3A7B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F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71F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71F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71F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71F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1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F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71F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1F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71F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71F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1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FAA"/>
    <w:rPr>
      <w:rFonts w:eastAsiaTheme="majorEastAsia" w:cstheme="majorBidi"/>
      <w:color w:val="272727" w:themeColor="text1" w:themeTint="D8"/>
    </w:rPr>
  </w:style>
  <w:style w:type="paragraph" w:styleId="Title">
    <w:name w:val="Title"/>
    <w:basedOn w:val="Normal"/>
    <w:next w:val="Normal"/>
    <w:link w:val="TitleChar"/>
    <w:uiPriority w:val="10"/>
    <w:qFormat/>
    <w:rsid w:val="00071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FAA"/>
    <w:pPr>
      <w:spacing w:before="160"/>
      <w:jc w:val="center"/>
    </w:pPr>
    <w:rPr>
      <w:i/>
      <w:iCs/>
      <w:color w:val="404040" w:themeColor="text1" w:themeTint="BF"/>
    </w:rPr>
  </w:style>
  <w:style w:type="character" w:customStyle="1" w:styleId="QuoteChar">
    <w:name w:val="Quote Char"/>
    <w:basedOn w:val="DefaultParagraphFont"/>
    <w:link w:val="Quote"/>
    <w:uiPriority w:val="29"/>
    <w:rsid w:val="00071FAA"/>
    <w:rPr>
      <w:i/>
      <w:iCs/>
      <w:color w:val="404040" w:themeColor="text1" w:themeTint="BF"/>
    </w:rPr>
  </w:style>
  <w:style w:type="paragraph" w:styleId="ListParagraph">
    <w:name w:val="List Paragraph"/>
    <w:basedOn w:val="Normal"/>
    <w:uiPriority w:val="34"/>
    <w:qFormat/>
    <w:rsid w:val="00071FAA"/>
    <w:pPr>
      <w:ind w:left="720"/>
      <w:contextualSpacing/>
    </w:pPr>
  </w:style>
  <w:style w:type="character" w:styleId="IntenseEmphasis">
    <w:name w:val="Intense Emphasis"/>
    <w:basedOn w:val="DefaultParagraphFont"/>
    <w:uiPriority w:val="21"/>
    <w:qFormat/>
    <w:rsid w:val="00071FAA"/>
    <w:rPr>
      <w:i/>
      <w:iCs/>
      <w:color w:val="2E74B5" w:themeColor="accent1" w:themeShade="BF"/>
    </w:rPr>
  </w:style>
  <w:style w:type="paragraph" w:styleId="IntenseQuote">
    <w:name w:val="Intense Quote"/>
    <w:basedOn w:val="Normal"/>
    <w:next w:val="Normal"/>
    <w:link w:val="IntenseQuoteChar"/>
    <w:uiPriority w:val="30"/>
    <w:qFormat/>
    <w:rsid w:val="00071F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1FAA"/>
    <w:rPr>
      <w:i/>
      <w:iCs/>
      <w:color w:val="2E74B5" w:themeColor="accent1" w:themeShade="BF"/>
    </w:rPr>
  </w:style>
  <w:style w:type="character" w:styleId="IntenseReference">
    <w:name w:val="Intense Reference"/>
    <w:basedOn w:val="DefaultParagraphFont"/>
    <w:uiPriority w:val="32"/>
    <w:qFormat/>
    <w:rsid w:val="00071FAA"/>
    <w:rPr>
      <w:b/>
      <w:bCs/>
      <w:smallCaps/>
      <w:color w:val="2E74B5" w:themeColor="accent1" w:themeShade="BF"/>
      <w:spacing w:val="5"/>
    </w:rPr>
  </w:style>
  <w:style w:type="character" w:styleId="Hyperlink">
    <w:name w:val="Hyperlink"/>
    <w:basedOn w:val="DefaultParagraphFont"/>
    <w:uiPriority w:val="99"/>
    <w:unhideWhenUsed/>
    <w:rsid w:val="00071FAA"/>
    <w:rPr>
      <w:color w:val="0563C1" w:themeColor="hyperlink"/>
      <w:u w:val="single"/>
    </w:rPr>
  </w:style>
  <w:style w:type="character" w:styleId="UnresolvedMention">
    <w:name w:val="Unresolved Mention"/>
    <w:basedOn w:val="DefaultParagraphFont"/>
    <w:uiPriority w:val="99"/>
    <w:semiHidden/>
    <w:unhideWhenUsed/>
    <w:rsid w:val="00071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4164</Words>
  <Characters>23735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SINHA</dc:creator>
  <cp:keywords/>
  <dc:description/>
  <cp:lastModifiedBy>AMAN SINHA</cp:lastModifiedBy>
  <cp:revision>1</cp:revision>
  <dcterms:created xsi:type="dcterms:W3CDTF">2025-09-12T16:55:00Z</dcterms:created>
  <dcterms:modified xsi:type="dcterms:W3CDTF">2025-09-12T18:15:00Z</dcterms:modified>
</cp:coreProperties>
</file>