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56"/>
          <w:szCs w:val="56"/>
        </w:rPr>
        <w:t xml:space="preserve"/>
      </w:r>
    </w:p>
    <w:p>
      <w:pPr>
        <w:jc w:val="center"/>
      </w:pPr>
      <w:r>
        <w:rPr>
          <w:rFonts w:ascii="Arial" w:cs="Arial" w:eastAsia="Arial" w:hAnsi="Arial"/>
          <w:b/>
          <w:bCs/>
          <w:color w:val="0F6E56"/>
          <w:sz w:val="80"/>
          <w:szCs w:val="80"/>
        </w:rPr>
        <w:t xml:space="preserve">NU ETHIOPIA</w:t>
      </w:r>
    </w:p>
    <w:p>
      <w:pPr>
        <w:spacing w:after="60" w:before="80"/>
        <w:jc w:val="center"/>
      </w:pPr>
      <w:r>
        <w:rPr>
          <w:rFonts w:ascii="Arial" w:cs="Arial" w:eastAsia="Arial" w:hAnsi="Arial"/>
          <w:i/>
          <w:iCs/>
          <w:color w:val="6B6B68"/>
          <w:sz w:val="32"/>
          <w:szCs w:val="32"/>
        </w:rPr>
        <w:t xml:space="preserve">Come and See ETHIOPIA</w:t>
      </w:r>
    </w:p>
    <w:p>
      <w:r>
        <w:rPr>
          <w:sz w:val="14"/>
          <w:szCs w:val="14"/>
        </w:rPr>
        <w:t xml:space="preserve"/>
      </w:r>
    </w:p>
    <w:p>
      <w:pPr>
        <w:jc w:val="center"/>
      </w:pPr>
      <w:r>
        <w:rPr>
          <w:rFonts w:ascii="Arial" w:cs="Arial" w:eastAsia="Arial" w:hAnsi="Arial"/>
          <w:b/>
          <w:bCs/>
          <w:color w:val="534AB7"/>
          <w:sz w:val="30"/>
          <w:szCs w:val="30"/>
        </w:rPr>
        <w:t xml:space="preserve">Section 4 — Non-Functional Requirements</w:t>
      </w:r>
    </w:p>
    <w:p>
      <w:pPr>
        <w:spacing w:before="60"/>
        <w:jc w:val="center"/>
      </w:pPr>
      <w:r>
        <w:rPr>
          <w:rFonts w:ascii="Arial" w:cs="Arial" w:eastAsia="Arial" w:hAnsi="Arial"/>
          <w:color w:val="6B6B68"/>
          <w:sz w:val="24"/>
          <w:szCs w:val="24"/>
        </w:rPr>
        <w:t xml:space="preserve">Refined v1.1  |  Full-Platform Coverage</w:t>
      </w:r>
    </w:p>
    <w:p>
      <w:r>
        <w:rPr>
          <w:sz w:val="42"/>
          <w:szCs w:val="42"/>
        </w:rPr>
        <w:t xml:space="preserve"/>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W w:type="dxa" w:w="2200"/>
            <w:tcBorders>
              <w:top w:val="none" w:color="FFFFFF" w:sz="0"/>
              <w:left w:val="none" w:color="FFFFFF" w:sz="0"/>
              <w:bottom w:val="none" w:color="FFFFFF" w:sz="0"/>
              <w:right w:val="none" w:color="FFFFFF" w:sz="0"/>
            </w:tcBorders>
            <w:shd w:fill="F2F0EB" w:val="clear"/>
            <w:tcMar>
              <w:top w:type="dxa" w:w="80"/>
              <w:left w:type="dxa" w:w="120"/>
              <w:bottom w:type="dxa" w:w="80"/>
              <w:right w:type="dxa" w:w="120"/>
            </w:tcMar>
          </w:tcPr>
          <w:p>
            <w:r>
              <w:rPr>
                <w:rFonts w:ascii="Arial" w:cs="Arial" w:eastAsia="Arial" w:hAnsi="Arial"/>
                <w:b/>
                <w:bCs/>
                <w:color w:val="2E2E2C"/>
                <w:sz w:val="21"/>
                <w:szCs w:val="21"/>
              </w:rPr>
              <w:t xml:space="preserve">Document ID</w:t>
            </w:r>
          </w:p>
        </w:tc>
        <w:tc>
          <w:tcPr>
            <w:tcW w:type="dxa" w:w="3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11111"/>
                <w:sz w:val="22"/>
                <w:szCs w:val="22"/>
              </w:rPr>
              <w:t xml:space="preserve">NE-NFR-001</w:t>
            </w:r>
          </w:p>
        </w:tc>
      </w:tr>
      <w:tr>
        <w:tc>
          <w:tcPr>
            <w:tcW w:type="dxa" w:w="2200"/>
            <w:tcBorders>
              <w:top w:val="none" w:color="FFFFFF" w:sz="0"/>
              <w:left w:val="none" w:color="FFFFFF" w:sz="0"/>
              <w:bottom w:val="none" w:color="FFFFFF" w:sz="0"/>
              <w:right w:val="none" w:color="FFFFFF" w:sz="0"/>
            </w:tcBorders>
            <w:shd w:fill="F2F0EB" w:val="clear"/>
            <w:tcMar>
              <w:top w:type="dxa" w:w="80"/>
              <w:left w:type="dxa" w:w="120"/>
              <w:bottom w:type="dxa" w:w="80"/>
              <w:right w:type="dxa" w:w="120"/>
            </w:tcMar>
          </w:tcPr>
          <w:p>
            <w:r>
              <w:rPr>
                <w:rFonts w:ascii="Arial" w:cs="Arial" w:eastAsia="Arial" w:hAnsi="Arial"/>
                <w:b/>
                <w:bCs/>
                <w:color w:val="2E2E2C"/>
                <w:sz w:val="21"/>
                <w:szCs w:val="21"/>
              </w:rPr>
              <w:t xml:space="preserve">SRS Version</w:t>
            </w:r>
          </w:p>
        </w:tc>
        <w:tc>
          <w:tcPr>
            <w:tcW w:type="dxa" w:w="3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11111"/>
                <w:sz w:val="22"/>
                <w:szCs w:val="22"/>
              </w:rPr>
              <w:t xml:space="preserve">v1.1</w:t>
            </w:r>
          </w:p>
        </w:tc>
      </w:tr>
      <w:tr>
        <w:tc>
          <w:tcPr>
            <w:tcW w:type="dxa" w:w="2200"/>
            <w:tcBorders>
              <w:top w:val="none" w:color="FFFFFF" w:sz="0"/>
              <w:left w:val="none" w:color="FFFFFF" w:sz="0"/>
              <w:bottom w:val="none" w:color="FFFFFF" w:sz="0"/>
              <w:right w:val="none" w:color="FFFFFF" w:sz="0"/>
            </w:tcBorders>
            <w:shd w:fill="F2F0EB" w:val="clear"/>
            <w:tcMar>
              <w:top w:type="dxa" w:w="80"/>
              <w:left w:type="dxa" w:w="120"/>
              <w:bottom w:type="dxa" w:w="80"/>
              <w:right w:type="dxa" w:w="120"/>
            </w:tcMar>
          </w:tcPr>
          <w:p>
            <w:r>
              <w:rPr>
                <w:rFonts w:ascii="Arial" w:cs="Arial" w:eastAsia="Arial" w:hAnsi="Arial"/>
                <w:b/>
                <w:bCs/>
                <w:color w:val="2E2E2C"/>
                <w:sz w:val="21"/>
                <w:szCs w:val="21"/>
              </w:rPr>
              <w:t xml:space="preserve">Status</w:t>
            </w:r>
          </w:p>
        </w:tc>
        <w:tc>
          <w:tcPr>
            <w:tcW w:type="dxa" w:w="3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11111"/>
                <w:sz w:val="22"/>
                <w:szCs w:val="22"/>
              </w:rPr>
              <w:t xml:space="preserve">Final Refined</w:t>
            </w:r>
          </w:p>
        </w:tc>
      </w:tr>
      <w:tr>
        <w:tc>
          <w:tcPr>
            <w:tcW w:type="dxa" w:w="2200"/>
            <w:tcBorders>
              <w:top w:val="none" w:color="FFFFFF" w:sz="0"/>
              <w:left w:val="none" w:color="FFFFFF" w:sz="0"/>
              <w:bottom w:val="none" w:color="FFFFFF" w:sz="0"/>
              <w:right w:val="none" w:color="FFFFFF" w:sz="0"/>
            </w:tcBorders>
            <w:shd w:fill="F2F0EB" w:val="clear"/>
            <w:tcMar>
              <w:top w:type="dxa" w:w="80"/>
              <w:left w:type="dxa" w:w="120"/>
              <w:bottom w:type="dxa" w:w="80"/>
              <w:right w:type="dxa" w:w="120"/>
            </w:tcMar>
          </w:tcPr>
          <w:p>
            <w:r>
              <w:rPr>
                <w:rFonts w:ascii="Arial" w:cs="Arial" w:eastAsia="Arial" w:hAnsi="Arial"/>
                <w:b/>
                <w:bCs/>
                <w:color w:val="2E2E2C"/>
                <w:sz w:val="21"/>
                <w:szCs w:val="21"/>
              </w:rPr>
              <w:t xml:space="preserve">Date</w:t>
            </w:r>
          </w:p>
        </w:tc>
        <w:tc>
          <w:tcPr>
            <w:tcW w:type="dxa" w:w="3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11111"/>
                <w:sz w:val="22"/>
                <w:szCs w:val="22"/>
              </w:rPr>
              <w:t xml:space="preserve">May 19, 2026</w:t>
            </w:r>
          </w:p>
        </w:tc>
      </w:tr>
      <w:tr>
        <w:tc>
          <w:tcPr>
            <w:tcW w:type="dxa" w:w="2200"/>
            <w:tcBorders>
              <w:top w:val="none" w:color="FFFFFF" w:sz="0"/>
              <w:left w:val="none" w:color="FFFFFF" w:sz="0"/>
              <w:bottom w:val="none" w:color="FFFFFF" w:sz="0"/>
              <w:right w:val="none" w:color="FFFFFF" w:sz="0"/>
            </w:tcBorders>
            <w:shd w:fill="F2F0EB" w:val="clear"/>
            <w:tcMar>
              <w:top w:type="dxa" w:w="80"/>
              <w:left w:type="dxa" w:w="120"/>
              <w:bottom w:type="dxa" w:w="80"/>
              <w:right w:type="dxa" w:w="120"/>
            </w:tcMar>
          </w:tcPr>
          <w:p>
            <w:r>
              <w:rPr>
                <w:rFonts w:ascii="Arial" w:cs="Arial" w:eastAsia="Arial" w:hAnsi="Arial"/>
                <w:b/>
                <w:bCs/>
                <w:color w:val="2E2E2C"/>
                <w:sz w:val="21"/>
                <w:szCs w:val="21"/>
              </w:rPr>
              <w:t xml:space="preserve">Prepared by</w:t>
            </w:r>
          </w:p>
        </w:tc>
        <w:tc>
          <w:tcPr>
            <w:tcW w:type="dxa" w:w="3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11111"/>
                <w:sz w:val="22"/>
                <w:szCs w:val="22"/>
              </w:rPr>
              <w:t xml:space="preserve">Amanuel Kindalem</w:t>
            </w:r>
          </w:p>
        </w:tc>
      </w:tr>
      <w:tr>
        <w:tc>
          <w:tcPr>
            <w:tcW w:type="dxa" w:w="2200"/>
            <w:tcBorders>
              <w:top w:val="none" w:color="FFFFFF" w:sz="0"/>
              <w:left w:val="none" w:color="FFFFFF" w:sz="0"/>
              <w:bottom w:val="none" w:color="FFFFFF" w:sz="0"/>
              <w:right w:val="none" w:color="FFFFFF" w:sz="0"/>
            </w:tcBorders>
            <w:shd w:fill="F2F0EB" w:val="clear"/>
            <w:tcMar>
              <w:top w:type="dxa" w:w="80"/>
              <w:left w:type="dxa" w:w="120"/>
              <w:bottom w:type="dxa" w:w="80"/>
              <w:right w:type="dxa" w:w="120"/>
            </w:tcMar>
          </w:tcPr>
          <w:p>
            <w:r>
              <w:rPr>
                <w:rFonts w:ascii="Arial" w:cs="Arial" w:eastAsia="Arial" w:hAnsi="Arial"/>
                <w:b/>
                <w:bCs/>
                <w:color w:val="2E2E2C"/>
                <w:sz w:val="21"/>
                <w:szCs w:val="21"/>
              </w:rPr>
              <w:t xml:space="preserve">Platform</w:t>
            </w:r>
          </w:p>
        </w:tc>
        <w:tc>
          <w:tcPr>
            <w:tcW w:type="dxa" w:w="3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11111"/>
                <w:sz w:val="22"/>
                <w:szCs w:val="22"/>
              </w:rPr>
              <w:t xml:space="preserve">Nu Ethiopia — Come and See ETHIOPIA</w:t>
            </w:r>
          </w:p>
        </w:tc>
      </w:tr>
    </w:tbl>
    <w:p>
      <w:r>
        <w:rPr>
          <w:sz w:val="28"/>
          <w:szCs w:val="2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1F5EE" w:val="clear"/>
            <w:tcMar>
              <w:top w:type="dxa" w:w="100"/>
              <w:left w:type="dxa" w:w="160"/>
              <w:bottom w:type="dxa" w:w="80"/>
              <w:right w:type="dxa" w:w="160"/>
            </w:tcMar>
          </w:tcPr>
          <w:p>
            <w:r>
              <w:rPr>
                <w:rFonts w:ascii="Arial" w:cs="Arial" w:eastAsia="Arial" w:hAnsi="Arial"/>
                <w:b/>
                <w:bCs/>
                <w:color w:val="0F6E56"/>
                <w:sz w:val="22"/>
                <w:szCs w:val="22"/>
              </w:rPr>
              <w:t xml:space="preserve">Purpose of this document</w:t>
            </w:r>
          </w:p>
        </w:tc>
      </w:tr>
      <w:tr>
        <w:tc>
          <w:tcPr>
            <w:tcW w:type="dxa" w:w="9360"/>
            <w:tcBorders>
              <w:top w:val="single" w:color="AAAAAA" w:sz="1"/>
              <w:left w:val="single" w:color="AAAAAA" w:sz="1"/>
              <w:bottom w:val="single" w:color="AAAAAA" w:sz="1"/>
              <w:right w:val="single" w:color="AAAAAA" w:sz="1"/>
            </w:tcBorders>
            <w:shd w:fill="FFFFFF" w:val="clear"/>
            <w:tcMar>
              <w:top w:type="dxa" w:w="70"/>
              <w:left w:type="dxa" w:w="160"/>
              <w:bottom w:type="dxa" w:w="70"/>
              <w:right w:type="dxa" w:w="160"/>
            </w:tcMar>
          </w:tcPr>
          <w:p>
            <w:r>
              <w:rPr>
                <w:rFonts w:ascii="Arial" w:cs="Arial" w:eastAsia="Arial" w:hAnsi="Arial"/>
                <w:color w:val="111111"/>
                <w:sz w:val="21"/>
                <w:szCs w:val="21"/>
              </w:rPr>
              <w:t xml:space="preserve">This document defines the complete Non-Functional Requirements (NFR) for Nu Ethiopia v1.0.</w:t>
            </w:r>
          </w:p>
        </w:tc>
      </w:tr>
      <w:tr>
        <w:tc>
          <w:tcPr>
            <w:tcW w:type="dxa" w:w="9360"/>
            <w:tcBorders>
              <w:top w:val="single" w:color="AAAAAA" w:sz="1"/>
              <w:left w:val="single" w:color="AAAAAA" w:sz="1"/>
              <w:bottom w:val="single" w:color="AAAAAA" w:sz="1"/>
              <w:right w:val="single" w:color="AAAAAA" w:sz="1"/>
            </w:tcBorders>
            <w:shd w:fill="F2F0EB" w:val="clear"/>
            <w:tcMar>
              <w:top w:type="dxa" w:w="70"/>
              <w:left w:type="dxa" w:w="160"/>
              <w:bottom w:type="dxa" w:w="70"/>
              <w:right w:type="dxa" w:w="160"/>
            </w:tcMar>
          </w:tcPr>
          <w:p>
            <w:r>
              <w:rPr>
                <w:rFonts w:ascii="Arial" w:cs="Arial" w:eastAsia="Arial" w:hAnsi="Arial"/>
                <w:color w:val="111111"/>
                <w:sz w:val="21"/>
                <w:szCs w:val="21"/>
              </w:rPr>
              <w:t xml:space="preserve">It covers every quality attribute that the platform must satisfy across all 12 functional modules:</w:t>
            </w:r>
          </w:p>
        </w:tc>
      </w:tr>
      <w:tr>
        <w:tc>
          <w:tcPr>
            <w:tcW w:type="dxa" w:w="9360"/>
            <w:tcBorders>
              <w:top w:val="single" w:color="AAAAAA" w:sz="1"/>
              <w:left w:val="single" w:color="AAAAAA" w:sz="1"/>
              <w:bottom w:val="single" w:color="AAAAAA" w:sz="1"/>
              <w:right w:val="single" w:color="AAAAAA" w:sz="1"/>
            </w:tcBorders>
            <w:shd w:fill="FFFFFF" w:val="clear"/>
            <w:tcMar>
              <w:top w:type="dxa" w:w="70"/>
              <w:left w:type="dxa" w:w="160"/>
              <w:bottom w:type="dxa" w:w="70"/>
              <w:right w:type="dxa" w:w="160"/>
            </w:tcMar>
          </w:tcPr>
          <w:p>
            <w:r>
              <w:rPr>
                <w:rFonts w:ascii="Arial" w:cs="Arial" w:eastAsia="Arial" w:hAnsi="Arial"/>
                <w:color w:val="111111"/>
                <w:sz w:val="21"/>
                <w:szCs w:val="21"/>
              </w:rPr>
              <w:t xml:space="preserve">performance, usability, accessibility, security, reliability, scalability, legal compliance,</w:t>
            </w:r>
          </w:p>
        </w:tc>
      </w:tr>
      <w:tr>
        <w:tc>
          <w:tcPr>
            <w:tcW w:type="dxa" w:w="9360"/>
            <w:tcBorders>
              <w:top w:val="single" w:color="AAAAAA" w:sz="1"/>
              <w:left w:val="single" w:color="AAAAAA" w:sz="1"/>
              <w:bottom w:val="single" w:color="AAAAAA" w:sz="1"/>
              <w:right w:val="single" w:color="AAAAAA" w:sz="1"/>
            </w:tcBorders>
            <w:shd w:fill="F2F0EB" w:val="clear"/>
            <w:tcMar>
              <w:top w:type="dxa" w:w="70"/>
              <w:left w:type="dxa" w:w="160"/>
              <w:bottom w:type="dxa" w:w="70"/>
              <w:right w:type="dxa" w:w="160"/>
            </w:tcMar>
          </w:tcPr>
          <w:p>
            <w:r>
              <w:rPr>
                <w:rFonts w:ascii="Arial" w:cs="Arial" w:eastAsia="Arial" w:hAnsi="Arial"/>
                <w:color w:val="111111"/>
                <w:sz w:val="21"/>
                <w:szCs w:val="21"/>
              </w:rPr>
              <w:t xml:space="preserve">and operational standards. Every NFR is traceable to at least one functional module.</w:t>
            </w:r>
          </w:p>
        </w:tc>
      </w:tr>
      <w:tr>
        <w:tc>
          <w:tcPr>
            <w:tcW w:type="dxa" w:w="9360"/>
            <w:tcBorders>
              <w:top w:val="single" w:color="AAAAAA" w:sz="1"/>
              <w:left w:val="single" w:color="AAAAAA" w:sz="1"/>
              <w:bottom w:val="single" w:color="AAAAAA" w:sz="1"/>
              <w:right w:val="single" w:color="AAAAAA" w:sz="1"/>
            </w:tcBorders>
            <w:shd w:fill="FFFFFF" w:val="clear"/>
            <w:tcMar>
              <w:top w:type="dxa" w:w="70"/>
              <w:left w:type="dxa" w:w="160"/>
              <w:bottom w:type="dxa" w:w="70"/>
              <w:right w:type="dxa" w:w="160"/>
            </w:tcMar>
          </w:tcPr>
          <w:p>
            <w:r>
              <w:rPr>
                <w:rFonts w:ascii="Arial" w:cs="Arial" w:eastAsia="Arial" w:hAnsi="Arial"/>
                <w:color w:val="111111"/>
                <w:sz w:val="21"/>
                <w:szCs w:val="21"/>
              </w:rPr>
              <w:t xml:space="preserve">These requirements must be verified before the v1.0 launch checklist is signed off.</w:t>
            </w:r>
          </w:p>
        </w:tc>
      </w:tr>
    </w:tbl>
    <w:p>
      <w:r>
        <w:br w:type="page"/>
      </w:r>
    </w:p>
    <w:p>
      <w:pPr>
        <w:pStyle w:val="Heading1"/>
        <w:pBdr>
          <w:bottom w:val="single" w:color="1D9E75" w:sz="8" w:space="4"/>
        </w:pBdr>
        <w:spacing w:after="200" w:before="420"/>
      </w:pPr>
      <w:r>
        <w:rPr>
          <w:rFonts w:ascii="Arial" w:cs="Arial" w:eastAsia="Arial" w:hAnsi="Arial"/>
          <w:b/>
          <w:bCs/>
          <w:color w:val="0F6E56"/>
          <w:sz w:val="40"/>
          <w:szCs w:val="40"/>
        </w:rPr>
        <w:t xml:space="preserve">4. Non-Functional Requirements</w:t>
      </w:r>
    </w:p>
    <w:p>
      <w:pPr>
        <w:spacing w:after="120" w:before="80"/>
      </w:pPr>
      <w:r>
        <w:rPr>
          <w:rFonts w:ascii="Arial" w:cs="Arial" w:eastAsia="Arial" w:hAnsi="Arial"/>
          <w:color w:val="111111"/>
          <w:sz w:val="22"/>
          <w:szCs w:val="22"/>
        </w:rPr>
        <w:t xml:space="preserve">Non-functional requirements define HOW the Nu Ethiopia platform must perform, not what it must do. They apply across all 12 functional modules (M1–M12) defined in the Functional Requirements document (NE-FR-001 v1.1) and must be satisfied system-wide unless a specific module is called out.</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NFR Category</w:t>
            </w:r>
          </w:p>
        </w:tc>
        <w:tc>
          <w:tcPr>
            <w:tcW w:type="dxa" w:w="18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ID range</w:t>
            </w:r>
          </w:p>
        </w:tc>
        <w:tc>
          <w:tcPr>
            <w:tcW w:type="dxa" w:w="536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Modules primarily affected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4.1  Performance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NFR-P1 – NFR-P9</w:t>
            </w:r>
          </w:p>
        </w:tc>
        <w:tc>
          <w:tcPr>
            <w:tcW w:type="dxa" w:w="5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M1 Homepage, M2 Category listings, M3 Detail pages, M4 Chatbot, M5 Browse, M6 Search</w:t>
            </w:r>
          </w:p>
        </w:tc>
      </w:tr>
      <w:tr>
        <w:tc>
          <w:tcPr>
            <w:tcW w:type="dxa" w:w="2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4.2  Usability &amp; Accessibility</w:t>
            </w:r>
          </w:p>
        </w:tc>
        <w:tc>
          <w:tcPr>
            <w:tcW w:type="dxa" w:w="18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NFR-U1 – NFR-U8</w:t>
            </w:r>
          </w:p>
        </w:tc>
        <w:tc>
          <w:tcPr>
            <w:tcW w:type="dxa" w:w="53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All modules (M1–M12)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4.3  Security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NFR-S1 – NFR-S12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M4 Chatbot, M7 Auth, M8 Reviews, M9 Agency, M10 Payment, M12 Admin</w:t>
            </w:r>
          </w:p>
        </w:tc>
      </w:tr>
      <w:tr>
        <w:tc>
          <w:tcPr>
            <w:tcW w:type="dxa" w:w="2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4.4  Reliability &amp; Availability</w:t>
            </w:r>
          </w:p>
        </w:tc>
        <w:tc>
          <w:tcPr>
            <w:tcW w:type="dxa" w:w="18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NFR-R1 – NFR-R6</w:t>
            </w:r>
          </w:p>
        </w:tc>
        <w:tc>
          <w:tcPr>
            <w:tcW w:type="dxa" w:w="53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All modules — platform-wide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4.5  Scalability &amp; Capacity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NFR-SC1 – NFR-SC5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M2 Listings, M5 Browse, M6 Search, M8 Reviews, M10 Payment</w:t>
            </w:r>
          </w:p>
        </w:tc>
      </w:tr>
      <w:tr>
        <w:tc>
          <w:tcPr>
            <w:tcW w:type="dxa" w:w="2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4.6  Maintainability &amp; Operability</w:t>
            </w:r>
          </w:p>
        </w:tc>
        <w:tc>
          <w:tcPr>
            <w:tcW w:type="dxa" w:w="18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NFR-M1 – NFR-M7</w:t>
            </w:r>
          </w:p>
        </w:tc>
        <w:tc>
          <w:tcPr>
            <w:tcW w:type="dxa" w:w="53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M12 Admin, M4 Chatbot, all content modules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4.7  Compatibility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NFR-C1 – NFR-C4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All public-facing modules (M1–M9, M11)</w:t>
            </w:r>
          </w:p>
        </w:tc>
      </w:tr>
      <w:tr>
        <w:tc>
          <w:tcPr>
            <w:tcW w:type="dxa" w:w="2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4.8  Legal &amp; Compliance</w:t>
            </w:r>
          </w:p>
        </w:tc>
        <w:tc>
          <w:tcPr>
            <w:tcW w:type="dxa" w:w="18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NFR-L1 – NFR-L5</w:t>
            </w:r>
          </w:p>
        </w:tc>
        <w:tc>
          <w:tcPr>
            <w:tcW w:type="dxa" w:w="53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M7 Auth, M10 Payment, all data-handling modules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4.9  Internationalisation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NFR-I1 – NFR-I3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M1 Homepage, content modules, v2 roadmap</w:t>
            </w:r>
          </w:p>
        </w:tc>
      </w:tr>
    </w:tbl>
    <w:p>
      <w:r>
        <w:br w:type="page"/>
      </w:r>
    </w:p>
    <w:p>
      <w:pPr>
        <w:pStyle w:val="Heading1"/>
        <w:pBdr>
          <w:bottom w:val="single" w:color="1D9E75" w:sz="8" w:space="4"/>
        </w:pBdr>
        <w:spacing w:after="200" w:before="420"/>
      </w:pPr>
      <w:r>
        <w:rPr>
          <w:rFonts w:ascii="Arial" w:cs="Arial" w:eastAsia="Arial" w:hAnsi="Arial"/>
          <w:b/>
          <w:bCs/>
          <w:color w:val="0F6E56"/>
          <w:sz w:val="40"/>
          <w:szCs w:val="40"/>
        </w:rPr>
        <w:t xml:space="preserve">4.1  Performance</w:t>
      </w:r>
    </w:p>
    <w:p>
      <w:pPr>
        <w:spacing w:after="120" w:before="80"/>
      </w:pPr>
      <w:r>
        <w:rPr>
          <w:rFonts w:ascii="Arial" w:cs="Arial" w:eastAsia="Arial" w:hAnsi="Arial"/>
          <w:color w:val="111111"/>
          <w:sz w:val="22"/>
          <w:szCs w:val="22"/>
        </w:rPr>
        <w:t xml:space="preserve">Performance requirements apply to all public-facing pages. The primary benchmark connection is a 4G mobile network (approximately 20 Mbps download, 150 ms latency) — the most common access scenario for both Ethiopian domestic users and international visitors researching from abroad.</w:t>
      </w:r>
    </w:p>
    <w:p>
      <w:r>
        <w:rPr>
          <w:sz w:val="14"/>
          <w:szCs w:val="14"/>
        </w:rPr>
        <w:t xml:space="preserve"/>
      </w:r>
    </w:p>
    <w:p>
      <w:pPr>
        <w:pStyle w:val="Heading2"/>
        <w:spacing w:after="140" w:before="300"/>
      </w:pPr>
      <w:r>
        <w:rPr>
          <w:rFonts w:ascii="Arial" w:cs="Arial" w:eastAsia="Arial" w:hAnsi="Arial"/>
          <w:b/>
          <w:bCs/>
          <w:color w:val="2E2E2C"/>
          <w:sz w:val="28"/>
          <w:szCs w:val="28"/>
        </w:rPr>
        <w:t xml:space="preserve">4.1.1  Page Load Times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2400"/>
        <w:gridCol w:w="2360"/>
      </w:tblGrid>
      <w:tr>
        <w:tc>
          <w:tcPr>
            <w:tcW w:type="dxa" w:w="12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ID</w:t>
            </w:r>
          </w:p>
        </w:tc>
        <w:tc>
          <w:tcPr>
            <w:tcW w:type="dxa" w:w="34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Requirement</w:t>
            </w:r>
          </w:p>
        </w:tc>
        <w:tc>
          <w:tcPr>
            <w:tcW w:type="dxa" w:w="24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Target</w:t>
            </w:r>
          </w:p>
        </w:tc>
        <w:tc>
          <w:tcPr>
            <w:tcW w:type="dxa" w:w="236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Affected modules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NFR-P1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Homepage initial load (LCP)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Under 3.0 s on 4G mobile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M1</w:t>
            </w:r>
          </w:p>
        </w:tc>
      </w:tr>
      <w:tr>
        <w:tc>
          <w:tcPr>
            <w:tcW w:type="dxa" w:w="1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NFR-P2</w:t>
            </w:r>
          </w:p>
        </w:tc>
        <w:tc>
          <w:tcPr>
            <w:tcW w:type="dxa" w:w="3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Category listing page load</w:t>
            </w:r>
          </w:p>
        </w:tc>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Under 3.0 s on 4G mobile</w:t>
            </w:r>
          </w:p>
        </w:tc>
        <w:tc>
          <w:tcPr>
            <w:tcW w:type="dxa" w:w="23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NFR-P3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Destination detail page load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Under 4.0 s on 4G mobile (includes gallery images)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M3</w:t>
            </w:r>
          </w:p>
        </w:tc>
      </w:tr>
      <w:tr>
        <w:tc>
          <w:tcPr>
            <w:tcW w:type="dxa" w:w="1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NFR-P4</w:t>
            </w:r>
          </w:p>
        </w:tc>
        <w:tc>
          <w:tcPr>
            <w:tcW w:type="dxa" w:w="3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Browse &amp; filter page load</w:t>
            </w:r>
          </w:p>
        </w:tc>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Under 3.0 s on 4G mobile</w:t>
            </w:r>
          </w:p>
        </w:tc>
        <w:tc>
          <w:tcPr>
            <w:tcW w:type="dxa" w:w="23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NFR-P5</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Region page load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Under 3.0 s on 4G mobile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M11</w:t>
            </w:r>
          </w:p>
        </w:tc>
      </w:tr>
      <w:tr>
        <w:tc>
          <w:tcPr>
            <w:tcW w:type="dxa" w:w="1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NFR-P6</w:t>
            </w:r>
          </w:p>
        </w:tc>
        <w:tc>
          <w:tcPr>
            <w:tcW w:type="dxa" w:w="3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Agency directory page load</w:t>
            </w:r>
          </w:p>
        </w:tc>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Under 3.0 s on 4G mobile</w:t>
            </w:r>
          </w:p>
        </w:tc>
        <w:tc>
          <w:tcPr>
            <w:tcW w:type="dxa" w:w="23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M9</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NFR-P7</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Login / register page load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Under 2.0 s on 4G mobile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M7</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4.1.2  Interaction Response Times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2400"/>
        <w:gridCol w:w="2360"/>
      </w:tblGrid>
      <w:tr>
        <w:tc>
          <w:tcPr>
            <w:tcW w:type="dxa" w:w="12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ID</w:t>
            </w:r>
          </w:p>
        </w:tc>
        <w:tc>
          <w:tcPr>
            <w:tcW w:type="dxa" w:w="34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Requirement</w:t>
            </w:r>
          </w:p>
        </w:tc>
        <w:tc>
          <w:tcPr>
            <w:tcW w:type="dxa" w:w="24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Target</w:t>
            </w:r>
          </w:p>
        </w:tc>
        <w:tc>
          <w:tcPr>
            <w:tcW w:type="dxa" w:w="236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Affected modules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NFR-P8</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Search autocomplete dropdown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Results appear within 300 ms of keystroke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M6</w:t>
            </w:r>
          </w:p>
        </w:tc>
      </w:tr>
      <w:tr>
        <w:tc>
          <w:tcPr>
            <w:tcW w:type="dxa" w:w="1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NFR-P9</w:t>
            </w:r>
          </w:p>
        </w:tc>
        <w:tc>
          <w:tcPr>
            <w:tcW w:type="dxa" w:w="3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Filter grid update (category, region, distance)</w:t>
            </w:r>
          </w:p>
        </w:tc>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Grid re-renders within 200 ms of filter selection</w:t>
            </w:r>
          </w:p>
        </w:tc>
        <w:tc>
          <w:tcPr>
            <w:tcW w:type="dxa" w:w="23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NFR-P10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Chatbot first token response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First token streamed within 2.0 s of message submit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M4</w:t>
            </w:r>
          </w:p>
        </w:tc>
      </w:tr>
      <w:tr>
        <w:tc>
          <w:tcPr>
            <w:tcW w:type="dxa" w:w="1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NFR-P11</w:t>
            </w:r>
          </w:p>
        </w:tc>
        <w:tc>
          <w:tcPr>
            <w:tcW w:type="dxa" w:w="3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Review submission confirmation</w:t>
            </w:r>
          </w:p>
        </w:tc>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Success message displayed within 1.5 s of submit</w:t>
            </w:r>
          </w:p>
        </w:tc>
        <w:tc>
          <w:tcPr>
            <w:tcW w:type="dxa" w:w="23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M8</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NFR-P12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Payment confirmation screen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Confirmation screen shown within 5.0 s of successful payment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M10</w:t>
            </w:r>
          </w:p>
        </w:tc>
      </w:tr>
      <w:tr>
        <w:tc>
          <w:tcPr>
            <w:tcW w:type="dxa" w:w="1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NFR-P13</w:t>
            </w:r>
          </w:p>
        </w:tc>
        <w:tc>
          <w:tcPr>
            <w:tcW w:type="dxa" w:w="3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Login redirect</w:t>
            </w:r>
          </w:p>
        </w:tc>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User redirected to intended page within 1.0 s of successful login</w:t>
            </w:r>
          </w:p>
        </w:tc>
        <w:tc>
          <w:tcPr>
            <w:tcW w:type="dxa" w:w="23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M7</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4.1.3  Asset Optimisation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c>
          <w:tcPr>
            <w:tcW w:type="dxa" w:w="12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ID</w:t>
            </w:r>
          </w:p>
        </w:tc>
        <w:tc>
          <w:tcPr>
            <w:tcW w:type="dxa" w:w="38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Requirement</w:t>
            </w:r>
          </w:p>
        </w:tc>
        <w:tc>
          <w:tcPr>
            <w:tcW w:type="dxa" w:w="436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Target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NFR-P14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Destination cover images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Max 200 KB per image, served as WebP via Cloudinary CDN</w:t>
            </w:r>
          </w:p>
        </w:tc>
      </w:tr>
      <w:tr>
        <w:tc>
          <w:tcPr>
            <w:tcW w:type="dxa" w:w="1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NFR-P15</w:t>
            </w:r>
          </w:p>
        </w:tc>
        <w:tc>
          <w:tcPr>
            <w:tcW w:type="dxa" w:w="38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Category and region header images</w:t>
            </w:r>
          </w:p>
        </w:tc>
        <w:tc>
          <w:tcPr>
            <w:tcW w:type="dxa" w:w="43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Max 200 KB per image, served as WebP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NFR-P16</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Homepage hero image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Max 150 KB, WebP, loaded with priority flag</w:t>
            </w:r>
          </w:p>
        </w:tc>
      </w:tr>
      <w:tr>
        <w:tc>
          <w:tcPr>
            <w:tcW w:type="dxa" w:w="1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NFR-P17</w:t>
            </w:r>
          </w:p>
        </w:tc>
        <w:tc>
          <w:tcPr>
            <w:tcW w:type="dxa" w:w="38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Destination card thumbnails</w:t>
            </w:r>
          </w:p>
        </w:tc>
        <w:tc>
          <w:tcPr>
            <w:tcW w:type="dxa" w:w="43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Max 100 KB per image, WebP, aspect ratio 16:9</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NFR-P18</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JavaScript bundle size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Initial JS payload under 200 KB gzipped (code-split by route)</w:t>
            </w:r>
          </w:p>
        </w:tc>
      </w:tr>
      <w:tr>
        <w:tc>
          <w:tcPr>
            <w:tcW w:type="dxa" w:w="1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NFR-P19</w:t>
            </w:r>
          </w:p>
        </w:tc>
        <w:tc>
          <w:tcPr>
            <w:tcW w:type="dxa" w:w="38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CSS bundle size</w:t>
            </w:r>
          </w:p>
        </w:tc>
        <w:tc>
          <w:tcPr>
            <w:tcW w:type="dxa" w:w="43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Tailwind CSS purged output under 30 KB gzipped</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4.1.4  Core Web Vitals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000"/>
        <w:gridCol w:w="3160"/>
      </w:tblGrid>
      <w:tr>
        <w:tc>
          <w:tcPr>
            <w:tcW w:type="dxa" w:w="12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ID</w:t>
            </w:r>
          </w:p>
        </w:tc>
        <w:tc>
          <w:tcPr>
            <w:tcW w:type="dxa" w:w="20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Metric</w:t>
            </w:r>
          </w:p>
        </w:tc>
        <w:tc>
          <w:tcPr>
            <w:tcW w:type="dxa" w:w="30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Target</w:t>
            </w:r>
          </w:p>
        </w:tc>
        <w:tc>
          <w:tcPr>
            <w:tcW w:type="dxa" w:w="316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Measurement tool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NFR-P20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Largest Contentful Paint (LCP)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&lt; 2.5 s on all core pages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Google PageSpeed Insights, Lighthouse</w:t>
            </w:r>
          </w:p>
        </w:tc>
      </w:tr>
      <w:tr>
        <w:tc>
          <w:tcPr>
            <w:tcW w:type="dxa" w:w="1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NFR-P21</w:t>
            </w:r>
          </w:p>
        </w:tc>
        <w:tc>
          <w:tcPr>
            <w:tcW w:type="dxa" w:w="20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First Input Delay (FID) / INP</w:t>
            </w:r>
          </w:p>
        </w:tc>
        <w:tc>
          <w:tcPr>
            <w:tcW w:type="dxa" w:w="30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&lt; 100 ms on all interactive pages</w:t>
            </w:r>
          </w:p>
        </w:tc>
        <w:tc>
          <w:tcPr>
            <w:tcW w:type="dxa" w:w="31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Chrome UX Report, Lighthouse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NFR-P22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Cumulative Layout Shift (CLS)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&lt; 0.1 on all pages (especially image-heavy detail pages)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Lighthouse, WebPageTest</w:t>
            </w:r>
          </w:p>
        </w:tc>
      </w:tr>
      <w:tr>
        <w:tc>
          <w:tcPr>
            <w:tcW w:type="dxa" w:w="1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NFR-P23</w:t>
            </w:r>
          </w:p>
        </w:tc>
        <w:tc>
          <w:tcPr>
            <w:tcW w:type="dxa" w:w="20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Time to First Byte (TTFB)</w:t>
            </w:r>
          </w:p>
        </w:tc>
        <w:tc>
          <w:tcPr>
            <w:tcW w:type="dxa" w:w="30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&lt; 600 ms for SSG pages served from Vercel CDN</w:t>
            </w:r>
          </w:p>
        </w:tc>
        <w:tc>
          <w:tcPr>
            <w:tcW w:type="dxa" w:w="31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WebPageTest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NFR-P24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Google PageSpeed score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 85 on mobile for homepage, browse, and detail pages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Google PageSpeed Insights</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AF2FB" w:val="clear"/>
            <w:tcMar>
              <w:top w:type="dxa" w:w="100"/>
              <w:left w:type="dxa" w:w="160"/>
              <w:bottom w:type="dxa" w:w="80"/>
              <w:right w:type="dxa" w:w="160"/>
            </w:tcMar>
          </w:tcPr>
          <w:p>
            <w:r>
              <w:rPr>
                <w:rFonts w:ascii="Arial" w:cs="Arial" w:eastAsia="Arial" w:hAnsi="Arial"/>
                <w:b/>
                <w:bCs/>
                <w:color w:val="0C447C"/>
                <w:sz w:val="22"/>
                <w:szCs w:val="22"/>
              </w:rPr>
              <w:t xml:space="preserve">Performance implementation requirements</w:t>
            </w:r>
          </w:p>
        </w:tc>
      </w:tr>
      <w:tr>
        <w:tc>
          <w:tcPr>
            <w:tcW w:type="dxa" w:w="9360"/>
            <w:tcBorders>
              <w:top w:val="single" w:color="AAAAAA" w:sz="1"/>
              <w:left w:val="single" w:color="AAAAAA" w:sz="1"/>
              <w:bottom w:val="single" w:color="AAAAAA" w:sz="1"/>
              <w:right w:val="single" w:color="AAAAAA" w:sz="1"/>
            </w:tcBorders>
            <w:shd w:fill="FFFFFF" w:val="clear"/>
            <w:tcMar>
              <w:top w:type="dxa" w:w="70"/>
              <w:left w:type="dxa" w:w="160"/>
              <w:bottom w:type="dxa" w:w="70"/>
              <w:right w:type="dxa" w:w="160"/>
            </w:tcMar>
          </w:tcPr>
          <w:p>
            <w:r>
              <w:rPr>
                <w:rFonts w:ascii="Arial" w:cs="Arial" w:eastAsia="Arial" w:hAnsi="Arial"/>
                <w:color w:val="111111"/>
                <w:sz w:val="21"/>
                <w:szCs w:val="21"/>
              </w:rPr>
              <w:t xml:space="preserve">  Next.js SSG (Static Site Generation) must be used for all destination, category, and region pages.</w:t>
            </w:r>
          </w:p>
        </w:tc>
      </w:tr>
      <w:tr>
        <w:tc>
          <w:tcPr>
            <w:tcW w:type="dxa" w:w="9360"/>
            <w:tcBorders>
              <w:top w:val="single" w:color="AAAAAA" w:sz="1"/>
              <w:left w:val="single" w:color="AAAAAA" w:sz="1"/>
              <w:bottom w:val="single" w:color="AAAAAA" w:sz="1"/>
              <w:right w:val="single" w:color="AAAAAA" w:sz="1"/>
            </w:tcBorders>
            <w:shd w:fill="F2F0EB" w:val="clear"/>
            <w:tcMar>
              <w:top w:type="dxa" w:w="70"/>
              <w:left w:type="dxa" w:w="160"/>
              <w:bottom w:type="dxa" w:w="70"/>
              <w:right w:type="dxa" w:w="160"/>
            </w:tcMar>
          </w:tcPr>
          <w:p>
            <w:r>
              <w:rPr>
                <w:rFonts w:ascii="Arial" w:cs="Arial" w:eastAsia="Arial" w:hAnsi="Arial"/>
                <w:color w:val="111111"/>
                <w:sz w:val="21"/>
                <w:szCs w:val="21"/>
              </w:rPr>
              <w:t xml:space="preserve">  ISR (Incremental Static Regeneration) with revalidate: 300 s is used for homepage and review-driven pages.</w:t>
            </w:r>
          </w:p>
        </w:tc>
      </w:tr>
      <w:tr>
        <w:tc>
          <w:tcPr>
            <w:tcW w:type="dxa" w:w="9360"/>
            <w:tcBorders>
              <w:top w:val="single" w:color="AAAAAA" w:sz="1"/>
              <w:left w:val="single" w:color="AAAAAA" w:sz="1"/>
              <w:bottom w:val="single" w:color="AAAAAA" w:sz="1"/>
              <w:right w:val="single" w:color="AAAAAA" w:sz="1"/>
            </w:tcBorders>
            <w:shd w:fill="FFFFFF" w:val="clear"/>
            <w:tcMar>
              <w:top w:type="dxa" w:w="70"/>
              <w:left w:type="dxa" w:w="160"/>
              <w:bottom w:type="dxa" w:w="70"/>
              <w:right w:type="dxa" w:w="160"/>
            </w:tcMar>
          </w:tcPr>
          <w:p>
            <w:r>
              <w:rPr>
                <w:rFonts w:ascii="Arial" w:cs="Arial" w:eastAsia="Arial" w:hAnsi="Arial"/>
                <w:color w:val="111111"/>
                <w:sz w:val="21"/>
                <w:szCs w:val="21"/>
              </w:rPr>
              <w:t xml:space="preserve">  All images must be served through Next.js &lt;Image&gt; component or Cloudinary CDN — no raw &lt;img&gt; tags.</w:t>
            </w:r>
          </w:p>
        </w:tc>
      </w:tr>
      <w:tr>
        <w:tc>
          <w:tcPr>
            <w:tcW w:type="dxa" w:w="9360"/>
            <w:tcBorders>
              <w:top w:val="single" w:color="AAAAAA" w:sz="1"/>
              <w:left w:val="single" w:color="AAAAAA" w:sz="1"/>
              <w:bottom w:val="single" w:color="AAAAAA" w:sz="1"/>
              <w:right w:val="single" w:color="AAAAAA" w:sz="1"/>
            </w:tcBorders>
            <w:shd w:fill="F2F0EB" w:val="clear"/>
            <w:tcMar>
              <w:top w:type="dxa" w:w="70"/>
              <w:left w:type="dxa" w:w="160"/>
              <w:bottom w:type="dxa" w:w="70"/>
              <w:right w:type="dxa" w:w="160"/>
            </w:tcMar>
          </w:tcPr>
          <w:p>
            <w:r>
              <w:rPr>
                <w:rFonts w:ascii="Arial" w:cs="Arial" w:eastAsia="Arial" w:hAnsi="Arial"/>
                <w:color w:val="111111"/>
                <w:sz w:val="21"/>
                <w:szCs w:val="21"/>
              </w:rPr>
              <w:t xml:space="preserve">  Leaflet.js map component must be dynamically imported (ssr: false) to prevent server-side bundle bloat.</w:t>
            </w:r>
          </w:p>
        </w:tc>
      </w:tr>
      <w:tr>
        <w:tc>
          <w:tcPr>
            <w:tcW w:type="dxa" w:w="9360"/>
            <w:tcBorders>
              <w:top w:val="single" w:color="AAAAAA" w:sz="1"/>
              <w:left w:val="single" w:color="AAAAAA" w:sz="1"/>
              <w:bottom w:val="single" w:color="AAAAAA" w:sz="1"/>
              <w:right w:val="single" w:color="AAAAAA" w:sz="1"/>
            </w:tcBorders>
            <w:shd w:fill="FFFFFF" w:val="clear"/>
            <w:tcMar>
              <w:top w:type="dxa" w:w="70"/>
              <w:left w:type="dxa" w:w="160"/>
              <w:bottom w:type="dxa" w:w="70"/>
              <w:right w:type="dxa" w:w="160"/>
            </w:tcMar>
          </w:tcPr>
          <w:p>
            <w:r>
              <w:rPr>
                <w:rFonts w:ascii="Arial" w:cs="Arial" w:eastAsia="Arial" w:hAnsi="Arial"/>
                <w:color w:val="111111"/>
                <w:sz w:val="21"/>
                <w:szCs w:val="21"/>
              </w:rPr>
              <w:t xml:space="preserve">  React components over 50 KB must be code-split using next/dynamic with loading states.</w:t>
            </w:r>
          </w:p>
        </w:tc>
      </w:tr>
    </w:tbl>
    <w:p>
      <w:r>
        <w:br w:type="page"/>
      </w:r>
    </w:p>
    <w:p>
      <w:pPr>
        <w:pStyle w:val="Heading1"/>
        <w:pBdr>
          <w:bottom w:val="single" w:color="1D9E75" w:sz="8" w:space="4"/>
        </w:pBdr>
        <w:spacing w:after="200" w:before="420"/>
      </w:pPr>
      <w:r>
        <w:rPr>
          <w:rFonts w:ascii="Arial" w:cs="Arial" w:eastAsia="Arial" w:hAnsi="Arial"/>
          <w:b/>
          <w:bCs/>
          <w:color w:val="0F6E56"/>
          <w:sz w:val="40"/>
          <w:szCs w:val="40"/>
        </w:rPr>
        <w:t xml:space="preserve">4.2  Usability and Accessibility</w:t>
      </w:r>
    </w:p>
    <w:p>
      <w:pPr>
        <w:spacing w:after="120" w:before="80"/>
      </w:pPr>
      <w:r>
        <w:rPr>
          <w:rFonts w:ascii="Arial" w:cs="Arial" w:eastAsia="Arial" w:hAnsi="Arial"/>
          <w:color w:val="111111"/>
          <w:sz w:val="22"/>
          <w:szCs w:val="22"/>
        </w:rPr>
        <w:t xml:space="preserve">Usability requirements apply to all user-facing modules (M1–M11). Nu Ethiopia serves a diverse global audience — international tourists, diaspora, and domestic travellers — many of whom are non-native English speakers accessing the platform on mobile devices in areas with variable connectivity.</w:t>
      </w:r>
    </w:p>
    <w:p>
      <w:r>
        <w:rPr>
          <w:sz w:val="14"/>
          <w:szCs w:val="14"/>
        </w:rPr>
        <w:t xml:space="preserve"/>
      </w:r>
    </w:p>
    <w:p>
      <w:pPr>
        <w:pStyle w:val="Heading2"/>
        <w:spacing w:after="140" w:before="300"/>
      </w:pPr>
      <w:r>
        <w:rPr>
          <w:rFonts w:ascii="Arial" w:cs="Arial" w:eastAsia="Arial" w:hAnsi="Arial"/>
          <w:b/>
          <w:bCs/>
          <w:color w:val="2E2E2C"/>
          <w:sz w:val="28"/>
          <w:szCs w:val="28"/>
        </w:rPr>
        <w:t xml:space="preserve">4.2.1  Responsive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ID</w:t>
            </w:r>
          </w:p>
        </w:tc>
        <w:tc>
          <w:tcPr>
            <w:tcW w:type="dxa" w:w="24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Requirement</w:t>
            </w:r>
          </w:p>
        </w:tc>
        <w:tc>
          <w:tcPr>
            <w:tcW w:type="dxa" w:w="576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Detail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NFR-U1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Mobile-first responsive design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All pages must be fully functional and readable at 320 px viewport width and above. No horizontal scroll must occur at any breakpoint.</w:t>
            </w:r>
          </w:p>
        </w:tc>
      </w:tr>
      <w:tr>
        <w:tc>
          <w:tcPr>
            <w:tcW w:type="dxa" w:w="1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NFR-U2</w:t>
            </w:r>
          </w:p>
        </w:tc>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Breakpoint grid system</w:t>
            </w:r>
          </w:p>
        </w:tc>
        <w:tc>
          <w:tcPr>
            <w:tcW w:type="dxa" w:w="57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Desktop: ≥ 1024 px / Tablet: 768–1023 px / Mobile: 320–767 px. Grid layouts must follow the column counts specified per FR (e.g., 3/2/1 for destination cards).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NFR-U3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Touch target sizes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All interactive elements (buttons, links, filter chips, chatbot buttons) must have a minimum touch target of 44 × 44 px on mobile.</w:t>
            </w:r>
          </w:p>
        </w:tc>
      </w:tr>
      <w:tr>
        <w:tc>
          <w:tcPr>
            <w:tcW w:type="dxa" w:w="1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NFR-U4</w:t>
            </w:r>
          </w:p>
        </w:tc>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No horizontal overflow</w:t>
            </w:r>
          </w:p>
        </w:tc>
        <w:tc>
          <w:tcPr>
            <w:tcW w:type="dxa" w:w="57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No page must produce horizontal scroll on any device from 320 px upward. Tables must scroll horizontally within a container, not cause page-level overflow.</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4.2.2  Accessibility (WCAG 2.1 Level AA)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ID</w:t>
            </w:r>
          </w:p>
        </w:tc>
        <w:tc>
          <w:tcPr>
            <w:tcW w:type="dxa" w:w="24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Requirement</w:t>
            </w:r>
          </w:p>
        </w:tc>
        <w:tc>
          <w:tcPr>
            <w:tcW w:type="dxa" w:w="576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Detail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NFR-U5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Colour contrast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All body text must have a contrast ratio of at least 4.5:1 against its background. Large text (≥ 18 pt or 14 pt bold) must have at least 3:1. Category colour badges must meet 4.5:1 against their card backgrounds.</w:t>
            </w:r>
          </w:p>
        </w:tc>
      </w:tr>
      <w:tr>
        <w:tc>
          <w:tcPr>
            <w:tcW w:type="dxa" w:w="1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NFR-U6</w:t>
            </w:r>
          </w:p>
        </w:tc>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Image alt text</w:t>
            </w:r>
          </w:p>
        </w:tc>
        <w:tc>
          <w:tcPr>
            <w:tcW w:type="dxa" w:w="57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Every destination photo, category image, region image, and agency logo must have descriptive alt text. Decorative images must have alt="".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NFR-U7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Keyboard navigation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All interactive elements must be reachable and operable via keyboard alone (Tab, Enter, Space, arrow keys). Focus order must be logical and follow visual layout.</w:t>
            </w:r>
          </w:p>
        </w:tc>
      </w:tr>
      <w:tr>
        <w:tc>
          <w:tcPr>
            <w:tcW w:type="dxa" w:w="1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NFR-U8</w:t>
            </w:r>
          </w:p>
        </w:tc>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Focus indicators</w:t>
            </w:r>
          </w:p>
        </w:tc>
        <w:tc>
          <w:tcPr>
            <w:tcW w:type="dxa" w:w="57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Visible focus rings must be present on all focusable elements. Default browser focus outlines must not be removed without a custom replacement.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NFR-U9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Form labels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All form inputs (registration, login, review, booking, search) must have associated &lt;label&gt; elements or aria-label attributes. Placeholder text alone does not satisfy this requirement.</w:t>
            </w:r>
          </w:p>
        </w:tc>
      </w:tr>
      <w:tr>
        <w:tc>
          <w:tcPr>
            <w:tcW w:type="dxa" w:w="1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NFR-U10</w:t>
            </w:r>
          </w:p>
        </w:tc>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Error identification</w:t>
            </w:r>
          </w:p>
        </w:tc>
        <w:tc>
          <w:tcPr>
            <w:tcW w:type="dxa" w:w="57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Form validation errors must be communicated as text — not colour alone — and associated with the relevant field via aria-describedby.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NFR-U11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Skip navigation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 skip to main content link must be present on all pages for keyboard users.</w:t>
            </w:r>
          </w:p>
        </w:tc>
      </w:tr>
      <w:tr>
        <w:tc>
          <w:tcPr>
            <w:tcW w:type="dxa" w:w="1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NFR-U12</w:t>
            </w:r>
          </w:p>
        </w:tc>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Screen reader compatibility</w:t>
            </w:r>
          </w:p>
        </w:tc>
        <w:tc>
          <w:tcPr>
            <w:tcW w:type="dxa" w:w="57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All pages must be tested with at least one screen reader (NVDA on Windows or VoiceOver on macOS/iOS) and pass without critical failures.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NFR-U13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WCAG audit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All pages must pass an automated WCAG 2.1 Level AA scan using Axe or Lighthouse Accessibility before v1.0 launch. Zero critical violations are permitted.</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4.2.3  Language and Content Clarity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ID</w:t>
            </w:r>
          </w:p>
        </w:tc>
        <w:tc>
          <w:tcPr>
            <w:tcW w:type="dxa" w:w="24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Requirement</w:t>
            </w:r>
          </w:p>
        </w:tc>
        <w:tc>
          <w:tcPr>
            <w:tcW w:type="dxa" w:w="576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Detail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NFR-U14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Reading level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All platform-written content (destination descriptions, tips, category introductions, UI labels) must target a B1 English reading level (CEFR). No idioms, no unexplained abbreviations, no jargon.</w:t>
            </w:r>
          </w:p>
        </w:tc>
      </w:tr>
      <w:tr>
        <w:tc>
          <w:tcPr>
            <w:tcW w:type="dxa" w:w="1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NFR-U15</w:t>
            </w:r>
          </w:p>
        </w:tc>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Chatbot language standard</w:t>
            </w:r>
          </w:p>
        </w:tc>
        <w:tc>
          <w:tcPr>
            <w:tcW w:type="dxa" w:w="57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All AI chatbot responses must satisfy NFR-U14. The system prompt must instruct the AI to use plain, simple English under 150 words per response (see FR-4.11).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NFR-U16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Error messages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All system error messages (auth failures, API errors, payment declines) must be written in plain English with a suggested action for the user.</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4.2.4  Chatbot and Feature Discoverability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ID</w:t>
            </w:r>
          </w:p>
        </w:tc>
        <w:tc>
          <w:tcPr>
            <w:tcW w:type="dxa" w:w="24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Requirement</w:t>
            </w:r>
          </w:p>
        </w:tc>
        <w:tc>
          <w:tcPr>
            <w:tcW w:type="dxa" w:w="576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Detail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NFR-U17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Chatbot visibility on desktop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The chatbot panel must be visible within the initial viewport on desktop (≥ 1024 px) on the destination detail page — not hidden below the fold.</w:t>
            </w:r>
          </w:p>
        </w:tc>
      </w:tr>
      <w:tr>
        <w:tc>
          <w:tcPr>
            <w:tcW w:type="dxa" w:w="1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NFR-U18</w:t>
            </w:r>
          </w:p>
        </w:tc>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Chatbot FAB on mobile</w:t>
            </w:r>
          </w:p>
        </w:tc>
        <w:tc>
          <w:tcPr>
            <w:tcW w:type="dxa" w:w="57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The floating action button for the chatbot must be visible on mobile without scrolling and must not obscure the destination name or cover image.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NFR-U19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Authentication prompts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All authentication gates (login prompts for chatbot, contact details, booking) must display a clear, specific message explaining what the user gains by logging in — not a generic 'Login required' message.</w:t>
            </w:r>
          </w:p>
        </w:tc>
      </w:tr>
      <w:tr>
        <w:tc>
          <w:tcPr>
            <w:tcW w:type="dxa" w:w="1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NFR-U20</w:t>
            </w:r>
          </w:p>
        </w:tc>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Booking flow step count</w:t>
            </w:r>
          </w:p>
        </w:tc>
        <w:tc>
          <w:tcPr>
            <w:tcW w:type="dxa" w:w="57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The payment and booking flow (M10) must complete in five steps or fewer from package selection to confirmation screen.</w:t>
            </w:r>
          </w:p>
        </w:tc>
      </w:tr>
    </w:tbl>
    <w:p>
      <w:r>
        <w:br w:type="page"/>
      </w:r>
    </w:p>
    <w:p>
      <w:pPr>
        <w:pStyle w:val="Heading1"/>
        <w:pBdr>
          <w:bottom w:val="single" w:color="1D9E75" w:sz="8" w:space="4"/>
        </w:pBdr>
        <w:spacing w:after="200" w:before="420"/>
      </w:pPr>
      <w:r>
        <w:rPr>
          <w:rFonts w:ascii="Arial" w:cs="Arial" w:eastAsia="Arial" w:hAnsi="Arial"/>
          <w:b/>
          <w:bCs/>
          <w:color w:val="0F6E56"/>
          <w:sz w:val="40"/>
          <w:szCs w:val="40"/>
        </w:rPr>
        <w:t xml:space="preserve">4.3  Security</w:t>
      </w:r>
    </w:p>
    <w:p>
      <w:pPr>
        <w:spacing w:after="120" w:before="80"/>
      </w:pPr>
      <w:r>
        <w:rPr>
          <w:rFonts w:ascii="Arial" w:cs="Arial" w:eastAsia="Arial" w:hAnsi="Arial"/>
          <w:color w:val="111111"/>
          <w:sz w:val="22"/>
          <w:szCs w:val="22"/>
        </w:rPr>
        <w:t xml:space="preserve">Security requirements apply across all modules that handle user data, authentication, payments, AI API access, or admin operations. These requirements are non-negotiable and must be verified before v1.0 deployment.</w:t>
      </w:r>
    </w:p>
    <w:p>
      <w:r>
        <w:rPr>
          <w:sz w:val="14"/>
          <w:szCs w:val="14"/>
        </w:rPr>
        <w:t xml:space="preserve"/>
      </w:r>
    </w:p>
    <w:p>
      <w:pPr>
        <w:pStyle w:val="Heading2"/>
        <w:spacing w:after="140" w:before="300"/>
      </w:pPr>
      <w:r>
        <w:rPr>
          <w:rFonts w:ascii="Arial" w:cs="Arial" w:eastAsia="Arial" w:hAnsi="Arial"/>
          <w:b/>
          <w:bCs/>
          <w:color w:val="2E2E2C"/>
          <w:sz w:val="28"/>
          <w:szCs w:val="28"/>
        </w:rPr>
        <w:t xml:space="preserve">4.3.1  Transport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ID</w:t>
            </w:r>
          </w:p>
        </w:tc>
        <w:tc>
          <w:tcPr>
            <w:tcW w:type="dxa" w:w="24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Requirement</w:t>
            </w:r>
          </w:p>
        </w:tc>
        <w:tc>
          <w:tcPr>
            <w:tcW w:type="dxa" w:w="576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Detail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NFR-S1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HTTPS enforcement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All traffic must be served over HTTPS with a valid SSL/TLS certificate. All HTTP requests must be permanently redirected (301) to HTTPS. Applies to all routes including API routes.</w:t>
            </w:r>
          </w:p>
        </w:tc>
      </w:tr>
      <w:tr>
        <w:tc>
          <w:tcPr>
            <w:tcW w:type="dxa" w:w="1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NFR-S2</w:t>
            </w:r>
          </w:p>
        </w:tc>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HSTS header</w:t>
            </w:r>
          </w:p>
        </w:tc>
        <w:tc>
          <w:tcPr>
            <w:tcW w:type="dxa" w:w="57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The platform must serve an HTTP Strict Transport Security (HSTS) header with a minimum max-age of 31,536,000 seconds (1 year).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NFR-S3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Content Security Policy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 strict Content Security Policy (CSP) header must be applied to all pages. Inline scripts must be disallowed unless using nonces. Allowed sources must be an explicit allowlist — no wildcard * sources for scripts or styles.</w:t>
            </w:r>
          </w:p>
        </w:tc>
      </w:tr>
      <w:tr>
        <w:tc>
          <w:tcPr>
            <w:tcW w:type="dxa" w:w="1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NFR-S4</w:t>
            </w:r>
          </w:p>
        </w:tc>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Security headers</w:t>
            </w:r>
          </w:p>
        </w:tc>
        <w:tc>
          <w:tcPr>
            <w:tcW w:type="dxa" w:w="57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The platform must serve: X-Frame-Options: DENY, X-Content-Type-Options: nosniff, Referrer-Policy: strict-origin-when-cross-origin on all responses.</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4.3.2  Authentication and Session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ID</w:t>
            </w:r>
          </w:p>
        </w:tc>
        <w:tc>
          <w:tcPr>
            <w:tcW w:type="dxa" w:w="24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Requirement</w:t>
            </w:r>
          </w:p>
        </w:tc>
        <w:tc>
          <w:tcPr>
            <w:tcW w:type="dxa" w:w="576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Detail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NFR-S5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Password hashing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All passwords must be hashed using bcrypt with a minimum cost factor of 12 before storage. Plaintext passwords must never be stored, logged, or transmitted after receipt.</w:t>
            </w:r>
          </w:p>
        </w:tc>
      </w:tr>
      <w:tr>
        <w:tc>
          <w:tcPr>
            <w:tcW w:type="dxa" w:w="1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NFR-S6</w:t>
            </w:r>
          </w:p>
        </w:tc>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Session cookies</w:t>
            </w:r>
          </w:p>
        </w:tc>
        <w:tc>
          <w:tcPr>
            <w:tcW w:type="dxa" w:w="57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Session tokens must be stored in HTTP-only, Secure, SameSite=Strict cookies. Tokens must not be stored in localStorage or sessionStorage.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NFR-S7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CSRF protection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All state-changing endpoints (login, register, review submit, booking, admin actions) must be protected against Cross-Site Request Forgery using SameSite=Strict cookies and server-side origin validation.</w:t>
            </w:r>
          </w:p>
        </w:tc>
      </w:tr>
      <w:tr>
        <w:tc>
          <w:tcPr>
            <w:tcW w:type="dxa" w:w="1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NFR-S8</w:t>
            </w:r>
          </w:p>
        </w:tc>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Brute-force protection</w:t>
            </w:r>
          </w:p>
        </w:tc>
        <w:tc>
          <w:tcPr>
            <w:tcW w:type="dxa" w:w="57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Five consecutive failed login attempts from the same IP address within 15 minutes must trigger a 15-minute login lockout for that IP. This is enforced at the server-side API layer (FR-7.2).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NFR-S9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Server-side session invalidation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On logout, the session token must be invalidated server-side immediately. Refreshing the page after logout must return the user to the unauthenticated state.</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4.3.3  API and External Service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ID</w:t>
            </w:r>
          </w:p>
        </w:tc>
        <w:tc>
          <w:tcPr>
            <w:tcW w:type="dxa" w:w="24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Requirement</w:t>
            </w:r>
          </w:p>
        </w:tc>
        <w:tc>
          <w:tcPr>
            <w:tcW w:type="dxa" w:w="576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Detail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NFR-S10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AI API key protection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The Anthropic Claude API key must be stored as a server-side environment variable and must never appear in client-side JavaScript bundles, browser network requests, or source code. All AI calls are routed exclusively through the /api/chat Next.js API route.</w:t>
            </w:r>
          </w:p>
        </w:tc>
      </w:tr>
      <w:tr>
        <w:tc>
          <w:tcPr>
            <w:tcW w:type="dxa" w:w="1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NFR-S11</w:t>
            </w:r>
          </w:p>
        </w:tc>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Chatbot rate limiting</w:t>
            </w:r>
          </w:p>
        </w:tc>
        <w:tc>
          <w:tcPr>
            <w:tcW w:type="dxa" w:w="57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The /api/chat endpoint must enforce a maximum of 20 requests per authenticated user per minute. Exceeding this limit returns HTTP 429 with a retry-after header. This protects against both abuse and unexpected API cost overruns.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NFR-S12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Payment API key protection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Chapa and Stripe secret keys must be stored as server-side environment variables only. All payment processing is handled server-side or via the gateway's client-side SDK (Stripe Elements) — raw card data must never touch Nu Ethiopia's servers.</w:t>
            </w:r>
          </w:p>
        </w:tc>
      </w:tr>
      <w:tr>
        <w:tc>
          <w:tcPr>
            <w:tcW w:type="dxa" w:w="1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NFR-S13</w:t>
            </w:r>
          </w:p>
        </w:tc>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Environment secrets management</w:t>
            </w:r>
          </w:p>
        </w:tc>
        <w:tc>
          <w:tcPr>
            <w:tcW w:type="dxa" w:w="57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All secrets (AI API key, database credentials, payment keys, email service credentials) must be stored as Vercel environment variables. No secrets may be committed to the source code repository in any form, including .env files.</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4.3.4  Input Validation and Data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ID</w:t>
            </w:r>
          </w:p>
        </w:tc>
        <w:tc>
          <w:tcPr>
            <w:tcW w:type="dxa" w:w="24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Requirement</w:t>
            </w:r>
          </w:p>
        </w:tc>
        <w:tc>
          <w:tcPr>
            <w:tcW w:type="dxa" w:w="576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Detail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NFR-S14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Server-side input sanitisation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All user inputs — search queries, chat messages, review text, registration fields, booking fields — must be sanitised and validated server-side before processing or storage. Client-side validation is supplementary only.</w:t>
            </w:r>
          </w:p>
        </w:tc>
      </w:tr>
      <w:tr>
        <w:tc>
          <w:tcPr>
            <w:tcW w:type="dxa" w:w="1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NFR-S15</w:t>
            </w:r>
          </w:p>
        </w:tc>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SQL / NoSQL injection prevention</w:t>
            </w:r>
          </w:p>
        </w:tc>
        <w:tc>
          <w:tcPr>
            <w:tcW w:type="dxa" w:w="57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All database queries must use parameterised queries or ORM-level protections. No raw user input may be interpolated directly into a database query string.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NFR-S16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Contact detail protection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Agency phone numbers and email addresses must not appear in the SSG HTML of any page. They must be fetched client-side via a protected API endpoint (/api/agency/[slug]/contact) that returns HTTP 401 for unauthenticated requests (FR-9.3).</w:t>
            </w:r>
          </w:p>
        </w:tc>
      </w:tr>
      <w:tr>
        <w:tc>
          <w:tcPr>
            <w:tcW w:type="dxa" w:w="1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NFR-S17</w:t>
            </w:r>
          </w:p>
        </w:tc>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Admin route protection</w:t>
            </w:r>
          </w:p>
        </w:tc>
        <w:tc>
          <w:tcPr>
            <w:tcW w:type="dxa" w:w="57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All /admin/* routes must validate the admin role server-side on every request. Role is verified against the database, not a client-side claim. Non-admin authenticated users receive HTTP 403. Unauthenticated users receive HTTP 401.</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4.3.5  Payment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ID</w:t>
            </w:r>
          </w:p>
        </w:tc>
        <w:tc>
          <w:tcPr>
            <w:tcW w:type="dxa" w:w="24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Requirement</w:t>
            </w:r>
          </w:p>
        </w:tc>
        <w:tc>
          <w:tcPr>
            <w:tcW w:type="dxa" w:w="576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Detail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NFR-S18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No card data storage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The platform must never store, log, or transmit raw card numbers, CVV codes, or card expiry dates. All card data is handled exclusively by Chapa's or Stripe's PCI-DSS compliant infrastructure.</w:t>
            </w:r>
          </w:p>
        </w:tc>
      </w:tr>
      <w:tr>
        <w:tc>
          <w:tcPr>
            <w:tcW w:type="dxa" w:w="1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NFR-S19</w:t>
            </w:r>
          </w:p>
        </w:tc>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Payment webhook verification</w:t>
            </w:r>
          </w:p>
        </w:tc>
        <w:tc>
          <w:tcPr>
            <w:tcW w:type="dxa" w:w="57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Incoming payment webhooks from Chapa and Stripe must be verified using their respective signature validation mechanisms (Stripe: stripe.webhooks.constructEvent; Chapa: hash comparison) before any booking status is updated.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NFR-S20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Booking reference uniqueness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Booking references (format: NE-[YEAR]-[6-DIGIT]) must be generated server-side using a cryptographically secure random number generator, not a sequential counter.</w:t>
            </w:r>
          </w:p>
        </w:tc>
      </w:tr>
    </w:tbl>
    <w:p>
      <w:r>
        <w:br w:type="page"/>
      </w:r>
    </w:p>
    <w:p>
      <w:pPr>
        <w:pStyle w:val="Heading1"/>
        <w:pBdr>
          <w:bottom w:val="single" w:color="1D9E75" w:sz="8" w:space="4"/>
        </w:pBdr>
        <w:spacing w:after="200" w:before="420"/>
      </w:pPr>
      <w:r>
        <w:rPr>
          <w:rFonts w:ascii="Arial" w:cs="Arial" w:eastAsia="Arial" w:hAnsi="Arial"/>
          <w:b/>
          <w:bCs/>
          <w:color w:val="0F6E56"/>
          <w:sz w:val="40"/>
          <w:szCs w:val="40"/>
        </w:rPr>
        <w:t xml:space="preserve">4.4  Reliability and Availability</w:t>
      </w:r>
    </w:p>
    <w:p>
      <w:pPr>
        <w:spacing w:after="120" w:before="80"/>
      </w:pPr>
      <w:r>
        <w:rPr>
          <w:rFonts w:ascii="Arial" w:cs="Arial" w:eastAsia="Arial" w:hAnsi="Arial"/>
          <w:color w:val="111111"/>
          <w:sz w:val="22"/>
          <w:szCs w:val="22"/>
        </w:rPr>
        <w:t xml:space="preserve">Reliability requirements cover the platform's uptime targets, degradation behaviour when third-party APIs are unavailable, and data integrity guarantees. Nu Ethiopia's user base includes travellers who may be actively consulting the platform from within Ethiopia, where connectivity can be variable.</w:t>
      </w:r>
    </w:p>
    <w:p>
      <w:r>
        <w:rPr>
          <w:sz w:val="14"/>
          <w:szCs w:val="14"/>
        </w:rPr>
        <w:t xml:space="preserve"/>
      </w:r>
    </w:p>
    <w:p>
      <w:pPr>
        <w:pStyle w:val="Heading2"/>
        <w:spacing w:after="140" w:before="300"/>
      </w:pPr>
      <w:r>
        <w:rPr>
          <w:rFonts w:ascii="Arial" w:cs="Arial" w:eastAsia="Arial" w:hAnsi="Arial"/>
          <w:b/>
          <w:bCs/>
          <w:color w:val="2E2E2C"/>
          <w:sz w:val="28"/>
          <w:szCs w:val="28"/>
        </w:rPr>
        <w:t xml:space="preserve">4.4.1  Uptime and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ID</w:t>
            </w:r>
          </w:p>
        </w:tc>
        <w:tc>
          <w:tcPr>
            <w:tcW w:type="dxa" w:w="24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Requirement</w:t>
            </w:r>
          </w:p>
        </w:tc>
        <w:tc>
          <w:tcPr>
            <w:tcW w:type="dxa" w:w="576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Target / Detail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NFR-R1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Platform uptime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99.5% monthly uptime for all core pages. This equates to a maximum of approximately 3.6 hours of unplanned downtime per month. Measurement excludes planned maintenance windows communicated 24 hours in advance.</w:t>
            </w:r>
          </w:p>
        </w:tc>
      </w:tr>
      <w:tr>
        <w:tc>
          <w:tcPr>
            <w:tcW w:type="dxa" w:w="1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NFR-R2</w:t>
            </w:r>
          </w:p>
        </w:tc>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Deployment downtime</w:t>
            </w:r>
          </w:p>
        </w:tc>
        <w:tc>
          <w:tcPr>
            <w:tcW w:type="dxa" w:w="57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Zero-downtime deployments must be maintained. Vercel's atomic deployment model ensures new deployments do not interrupt active user sessions.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NFR-R3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Database uptime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Supabase PostgreSQL uptime SLA is accepted as the database availability baseline. The platform must implement connection pooling (PgBouncer via Supabase) to handle connection spikes during peak traffic.</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4.4.2  Graceful Degradation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ID</w:t>
            </w:r>
          </w:p>
        </w:tc>
        <w:tc>
          <w:tcPr>
            <w:tcW w:type="dxa" w:w="24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Requirement</w:t>
            </w:r>
          </w:p>
        </w:tc>
        <w:tc>
          <w:tcPr>
            <w:tcW w:type="dxa" w:w="576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Fallback behaviour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NFR-R4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AI chatbot API unavailability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If the Anthropic Claude API returns an error or times out, the chatbot panel must display: "Our travel assistant is temporarily unavailable. Please refer to the Practical Tips and How to Get There sections on this page for essential information." The rest of the page must be fully functional.</w:t>
            </w:r>
          </w:p>
        </w:tc>
      </w:tr>
      <w:tr>
        <w:tc>
          <w:tcPr>
            <w:tcW w:type="dxa" w:w="1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NFR-R5</w:t>
            </w:r>
          </w:p>
        </w:tc>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Payment gateway unavailability</w:t>
            </w:r>
          </w:p>
        </w:tc>
        <w:tc>
          <w:tcPr>
            <w:tcW w:type="dxa" w:w="57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If Chapa or Stripe returns an error during a booking, the user must see: "Payment processing is temporarily unavailable. Please try again shortly or contact the agency directly." The booking is not created and no charge is made.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NFR-R6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Image CDN unavailability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If Cloudinary is unavailable, images must fall back to a locally stored placeholder image. No broken image icons or missing alt text must be displayed to users.</w:t>
            </w:r>
          </w:p>
        </w:tc>
      </w:tr>
      <w:tr>
        <w:tc>
          <w:tcPr>
            <w:tcW w:type="dxa" w:w="1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NFR-R7</w:t>
            </w:r>
          </w:p>
        </w:tc>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Search API degradation</w:t>
            </w:r>
          </w:p>
        </w:tc>
        <w:tc>
          <w:tcPr>
            <w:tcW w:type="dxa" w:w="57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If the search API endpoint fails, the search bar must display: "Search is temporarily unavailable. Please browse destinations by category or region." with links to /explore and /region.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NFR-R8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JavaScript disabled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All destination content (description, practical tips, how to get there, category-specific fields) must be readable with JavaScript disabled. The chatbot, interactive map, and gallery are excluded from this requirement.</w:t>
            </w:r>
          </w:p>
        </w:tc>
      </w:tr>
      <w:tr>
        <w:tc>
          <w:tcPr>
            <w:tcW w:type="dxa" w:w="1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NFR-R9</w:t>
            </w:r>
          </w:p>
        </w:tc>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Slow connection (2G / offline)</w:t>
            </w:r>
          </w:p>
        </w:tc>
        <w:tc>
          <w:tcPr>
            <w:tcW w:type="dxa" w:w="57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The platform must render meaningful content (text, destination names, distances) on connections as slow as 2G (approximately 250 Kbps). Images may be deferred but text content must not be blocked by image loading.</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4.4.3  Data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ID</w:t>
            </w:r>
          </w:p>
        </w:tc>
        <w:tc>
          <w:tcPr>
            <w:tcW w:type="dxa" w:w="24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Requirement</w:t>
            </w:r>
          </w:p>
        </w:tc>
        <w:tc>
          <w:tcPr>
            <w:tcW w:type="dxa" w:w="576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Detail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NFR-R10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Database transactions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Operations that modify multiple records atomically (e.g., user registration creating both auth and profile records; booking creation updating both booking and package status) must use database transactions to prevent partial writes.</w:t>
            </w:r>
          </w:p>
        </w:tc>
      </w:tr>
      <w:tr>
        <w:tc>
          <w:tcPr>
            <w:tcW w:type="dxa" w:w="1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NFR-R11</w:t>
            </w:r>
          </w:p>
        </w:tc>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Idempotent payment handling</w:t>
            </w:r>
          </w:p>
        </w:tc>
        <w:tc>
          <w:tcPr>
            <w:tcW w:type="dxa" w:w="57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Payment webhook handlers must be idempotent — processing the same webhook event twice must not result in a duplicate booking or double charge.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NFR-R12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Review aggregate consistency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Aggregate ratings displayed on destination pages and the homepage must be recalculated from stored reviews on each ISR revalidation cycle — not stored as a cached value that can drift.</w:t>
            </w:r>
          </w:p>
        </w:tc>
      </w:tr>
    </w:tbl>
    <w:p>
      <w:r>
        <w:br w:type="page"/>
      </w:r>
    </w:p>
    <w:p>
      <w:pPr>
        <w:pStyle w:val="Heading1"/>
        <w:pBdr>
          <w:bottom w:val="single" w:color="1D9E75" w:sz="8" w:space="4"/>
        </w:pBdr>
        <w:spacing w:after="200" w:before="420"/>
      </w:pPr>
      <w:r>
        <w:rPr>
          <w:rFonts w:ascii="Arial" w:cs="Arial" w:eastAsia="Arial" w:hAnsi="Arial"/>
          <w:b/>
          <w:bCs/>
          <w:color w:val="0F6E56"/>
          <w:sz w:val="40"/>
          <w:szCs w:val="40"/>
        </w:rPr>
        <w:t xml:space="preserve">4.5  Scalability and Capacity</w:t>
      </w:r>
    </w:p>
    <w:p>
      <w:pPr>
        <w:spacing w:after="120" w:before="80"/>
      </w:pPr>
      <w:r>
        <w:rPr>
          <w:rFonts w:ascii="Arial" w:cs="Arial" w:eastAsia="Arial" w:hAnsi="Arial"/>
          <w:color w:val="111111"/>
          <w:sz w:val="22"/>
          <w:szCs w:val="22"/>
        </w:rPr>
        <w:t xml:space="preserve">Scalability requirements define the capacity the platform must support at v1.0 launch and the growth it must accommodate without architectural changes.</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ID</w:t>
            </w:r>
          </w:p>
        </w:tc>
        <w:tc>
          <w:tcPr>
            <w:tcW w:type="dxa" w:w="30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Requirement</w:t>
            </w:r>
          </w:p>
        </w:tc>
        <w:tc>
          <w:tcPr>
            <w:tcW w:type="dxa" w:w="516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Target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NFR-SC1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Published destinations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Platform must support up to 500 published destination records without performance degradation in browse, filter, or search operations.</w:t>
            </w:r>
          </w:p>
        </w:tc>
      </w:tr>
      <w:tr>
        <w:tc>
          <w:tcPr>
            <w:tcW w:type="dxa" w:w="1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NFR-SC2</w:t>
            </w:r>
          </w:p>
        </w:tc>
        <w:tc>
          <w:tcPr>
            <w:tcW w:type="dxa" w:w="30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Registered users</w:t>
            </w:r>
          </w:p>
        </w:tc>
        <w:tc>
          <w:tcPr>
            <w:tcW w:type="dxa" w:w="51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Platform must support up to 10,000 registered user accounts. Authentication, profile, review, and booking operations must maintain their response time NFRs up to this user count.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NFR-SC3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Concurrent users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Platform must support 200 concurrent active users on the browse page and 50 concurrent active chatbot sessions without exceeding page load and response time NFRs.</w:t>
            </w:r>
          </w:p>
        </w:tc>
      </w:tr>
      <w:tr>
        <w:tc>
          <w:tcPr>
            <w:tcW w:type="dxa" w:w="1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NFR-SC4</w:t>
            </w:r>
          </w:p>
        </w:tc>
        <w:tc>
          <w:tcPr>
            <w:tcW w:type="dxa" w:w="30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Agency and package data</w:t>
            </w:r>
          </w:p>
        </w:tc>
        <w:tc>
          <w:tcPr>
            <w:tcW w:type="dxa" w:w="51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Platform must support up to 200 agency profiles and up to 4,000 total package listings (200 agencies × 20 packages each) without search or filter performance degradation.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NFR-SC5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Review volume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Platform must support up to 50,000 total review records. Aggregate rating calculations and homepage highlight queries must complete within 200 ms up to this volume.</w:t>
            </w:r>
          </w:p>
        </w:tc>
      </w:tr>
      <w:tr>
        <w:tc>
          <w:tcPr>
            <w:tcW w:type="dxa" w:w="1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NFR-SC6</w:t>
            </w:r>
          </w:p>
        </w:tc>
        <w:tc>
          <w:tcPr>
            <w:tcW w:type="dxa" w:w="30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Image storage</w:t>
            </w:r>
          </w:p>
        </w:tc>
        <w:tc>
          <w:tcPr>
            <w:tcW w:type="dxa" w:w="51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Cloudinary free tier (25 GB) must be sufficient for v1.0 launch content. Image upload and delivery must be monitored; a paid tier migration path must be documented in the README.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NFR-SC7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Chatbot API cost management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The /api/chat rate limit (NFR-S11: 20 req/user/min) combined with max 150-word responses and 6-topic scoping is the primary cost control mechanism. Monthly API cost must be estimated and budgeted before launch.</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3CD" w:val="clear"/>
            <w:tcMar>
              <w:top w:type="dxa" w:w="100"/>
              <w:left w:type="dxa" w:w="160"/>
              <w:bottom w:type="dxa" w:w="80"/>
              <w:right w:type="dxa" w:w="160"/>
            </w:tcMar>
          </w:tcPr>
          <w:p>
            <w:r>
              <w:rPr>
                <w:rFonts w:ascii="Arial" w:cs="Arial" w:eastAsia="Arial" w:hAnsi="Arial"/>
                <w:b/>
                <w:bCs/>
                <w:color w:val="633806"/>
                <w:sz w:val="22"/>
                <w:szCs w:val="22"/>
              </w:rPr>
              <w:t xml:space="preserve">Scaling path beyond v1.0</w:t>
            </w:r>
          </w:p>
        </w:tc>
      </w:tr>
      <w:tr>
        <w:tc>
          <w:tcPr>
            <w:tcW w:type="dxa" w:w="9360"/>
            <w:tcBorders>
              <w:top w:val="single" w:color="AAAAAA" w:sz="1"/>
              <w:left w:val="single" w:color="AAAAAA" w:sz="1"/>
              <w:bottom w:val="single" w:color="AAAAAA" w:sz="1"/>
              <w:right w:val="single" w:color="AAAAAA" w:sz="1"/>
            </w:tcBorders>
            <w:shd w:fill="FFFFFF" w:val="clear"/>
            <w:tcMar>
              <w:top w:type="dxa" w:w="70"/>
              <w:left w:type="dxa" w:w="160"/>
              <w:bottom w:type="dxa" w:w="70"/>
              <w:right w:type="dxa" w:w="160"/>
            </w:tcMar>
          </w:tcPr>
          <w:p>
            <w:r>
              <w:rPr>
                <w:rFonts w:ascii="Arial" w:cs="Arial" w:eastAsia="Arial" w:hAnsi="Arial"/>
                <w:color w:val="111111"/>
                <w:sz w:val="21"/>
                <w:szCs w:val="21"/>
              </w:rPr>
              <w:t xml:space="preserve">  If destination count exceeds 500: implement pagination on browse and category pages (currently SSG-rendered in full).</w:t>
            </w:r>
          </w:p>
        </w:tc>
      </w:tr>
      <w:tr>
        <w:tc>
          <w:tcPr>
            <w:tcW w:type="dxa" w:w="9360"/>
            <w:tcBorders>
              <w:top w:val="single" w:color="AAAAAA" w:sz="1"/>
              <w:left w:val="single" w:color="AAAAAA" w:sz="1"/>
              <w:bottom w:val="single" w:color="AAAAAA" w:sz="1"/>
              <w:right w:val="single" w:color="AAAAAA" w:sz="1"/>
            </w:tcBorders>
            <w:shd w:fill="F2F0EB" w:val="clear"/>
            <w:tcMar>
              <w:top w:type="dxa" w:w="70"/>
              <w:left w:type="dxa" w:w="160"/>
              <w:bottom w:type="dxa" w:w="70"/>
              <w:right w:type="dxa" w:w="160"/>
            </w:tcMar>
          </w:tcPr>
          <w:p>
            <w:r>
              <w:rPr>
                <w:rFonts w:ascii="Arial" w:cs="Arial" w:eastAsia="Arial" w:hAnsi="Arial"/>
                <w:color w:val="111111"/>
                <w:sz w:val="21"/>
                <w:szCs w:val="21"/>
              </w:rPr>
              <w:t xml:space="preserve">  If concurrent users exceed 200: upgrade Supabase plan for higher connection pool limits; evaluate edge caching for API routes.</w:t>
            </w:r>
          </w:p>
        </w:tc>
      </w:tr>
      <w:tr>
        <w:tc>
          <w:tcPr>
            <w:tcW w:type="dxa" w:w="9360"/>
            <w:tcBorders>
              <w:top w:val="single" w:color="AAAAAA" w:sz="1"/>
              <w:left w:val="single" w:color="AAAAAA" w:sz="1"/>
              <w:bottom w:val="single" w:color="AAAAAA" w:sz="1"/>
              <w:right w:val="single" w:color="AAAAAA" w:sz="1"/>
            </w:tcBorders>
            <w:shd w:fill="FFFFFF" w:val="clear"/>
            <w:tcMar>
              <w:top w:type="dxa" w:w="70"/>
              <w:left w:type="dxa" w:w="160"/>
              <w:bottom w:type="dxa" w:w="70"/>
              <w:right w:type="dxa" w:w="160"/>
            </w:tcMar>
          </w:tcPr>
          <w:p>
            <w:r>
              <w:rPr>
                <w:rFonts w:ascii="Arial" w:cs="Arial" w:eastAsia="Arial" w:hAnsi="Arial"/>
                <w:color w:val="111111"/>
                <w:sz w:val="21"/>
                <w:szCs w:val="21"/>
              </w:rPr>
              <w:t xml:space="preserve">  If chatbot sessions exceed 50 concurrent: implement a session queue with a waiting indicator rather than failing requests.</w:t>
            </w:r>
          </w:p>
        </w:tc>
      </w:tr>
      <w:tr>
        <w:tc>
          <w:tcPr>
            <w:tcW w:type="dxa" w:w="9360"/>
            <w:tcBorders>
              <w:top w:val="single" w:color="AAAAAA" w:sz="1"/>
              <w:left w:val="single" w:color="AAAAAA" w:sz="1"/>
              <w:bottom w:val="single" w:color="AAAAAA" w:sz="1"/>
              <w:right w:val="single" w:color="AAAAAA" w:sz="1"/>
            </w:tcBorders>
            <w:shd w:fill="F2F0EB" w:val="clear"/>
            <w:tcMar>
              <w:top w:type="dxa" w:w="70"/>
              <w:left w:type="dxa" w:w="160"/>
              <w:bottom w:type="dxa" w:w="70"/>
              <w:right w:type="dxa" w:w="160"/>
            </w:tcMar>
          </w:tcPr>
          <w:p>
            <w:r>
              <w:rPr>
                <w:rFonts w:ascii="Arial" w:cs="Arial" w:eastAsia="Arial" w:hAnsi="Arial"/>
                <w:color w:val="111111"/>
                <w:sz w:val="21"/>
                <w:szCs w:val="21"/>
              </w:rPr>
              <w:t xml:space="preserve">  If Vercel bandwidth exceeds free tier: migrate to Vercel Pro or evaluate Cloudflare Pages as an alternative CDN.</w:t>
            </w:r>
          </w:p>
        </w:tc>
      </w:tr>
    </w:tbl>
    <w:p>
      <w:r>
        <w:br w:type="page"/>
      </w:r>
    </w:p>
    <w:p>
      <w:pPr>
        <w:pStyle w:val="Heading1"/>
        <w:pBdr>
          <w:bottom w:val="single" w:color="1D9E75" w:sz="8" w:space="4"/>
        </w:pBdr>
        <w:spacing w:after="200" w:before="420"/>
      </w:pPr>
      <w:r>
        <w:rPr>
          <w:rFonts w:ascii="Arial" w:cs="Arial" w:eastAsia="Arial" w:hAnsi="Arial"/>
          <w:b/>
          <w:bCs/>
          <w:color w:val="0F6E56"/>
          <w:sz w:val="40"/>
          <w:szCs w:val="40"/>
        </w:rPr>
        <w:t xml:space="preserve">4.6  Maintainability and Operability</w:t>
      </w:r>
    </w:p>
    <w:p>
      <w:pPr>
        <w:spacing w:after="120" w:before="80"/>
      </w:pPr>
      <w:r>
        <w:rPr>
          <w:rFonts w:ascii="Arial" w:cs="Arial" w:eastAsia="Arial" w:hAnsi="Arial"/>
          <w:color w:val="111111"/>
          <w:sz w:val="22"/>
          <w:szCs w:val="22"/>
        </w:rPr>
        <w:t xml:space="preserve">Maintainability requirements ensure the Nu Ethiopia platform can be updated, debugged, and operated by the project team without requiring specialist expertise for routine content and configuration changes.</w:t>
      </w:r>
    </w:p>
    <w:p>
      <w:r>
        <w:rPr>
          <w:sz w:val="14"/>
          <w:szCs w:val="14"/>
        </w:rPr>
        <w:t xml:space="preserve"/>
      </w:r>
    </w:p>
    <w:p>
      <w:pPr>
        <w:pStyle w:val="Heading2"/>
        <w:spacing w:after="140" w:before="300"/>
      </w:pPr>
      <w:r>
        <w:rPr>
          <w:rFonts w:ascii="Arial" w:cs="Arial" w:eastAsia="Arial" w:hAnsi="Arial"/>
          <w:b/>
          <w:bCs/>
          <w:color w:val="2E2E2C"/>
          <w:sz w:val="28"/>
          <w:szCs w:val="28"/>
        </w:rPr>
        <w:t xml:space="preserve">4.6.1  Content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ID</w:t>
            </w:r>
          </w:p>
        </w:tc>
        <w:tc>
          <w:tcPr>
            <w:tcW w:type="dxa" w:w="24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Requirement</w:t>
            </w:r>
          </w:p>
        </w:tc>
        <w:tc>
          <w:tcPr>
            <w:tcW w:type="dxa" w:w="576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Detail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NFR-M1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Non-developer content updates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Destination records (all fields including chatbot_context), agency profiles, featured flags, and homepage content must be updatable through the /admin interface by a non-developer team member without any code change or deployment.</w:t>
            </w:r>
          </w:p>
        </w:tc>
      </w:tr>
      <w:tr>
        <w:tc>
          <w:tcPr>
            <w:tcW w:type="dxa" w:w="1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NFR-M2</w:t>
            </w:r>
          </w:p>
        </w:tc>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Chatbot context configurability</w:t>
            </w:r>
          </w:p>
        </w:tc>
        <w:tc>
          <w:tcPr>
            <w:tcW w:type="dxa" w:w="57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The chatbot_context JSON object for each destination must be editable through the admin UI without redeployment. Changes must take effect within the next ISR revalidation cycle (within 5 minutes).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NFR-M3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Content change propagation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Publishing, archiving, or updating a destination via /admin must trigger an ISR revalidation for the affected destination detail page, its category listing page, its region page, and the homepage within 5 minutes.</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4.6.2  Code Quality and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ID</w:t>
            </w:r>
          </w:p>
        </w:tc>
        <w:tc>
          <w:tcPr>
            <w:tcW w:type="dxa" w:w="24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Requirement</w:t>
            </w:r>
          </w:p>
        </w:tc>
        <w:tc>
          <w:tcPr>
            <w:tcW w:type="dxa" w:w="576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Detail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NFR-M4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README completeness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The project repository must include a README covering: local development setup, required environment variables (names, not values), database schema migration steps, content update procedures, and deployment to Vercel. The README must be verifiable by a new developer joining the project.</w:t>
            </w:r>
          </w:p>
        </w:tc>
      </w:tr>
      <w:tr>
        <w:tc>
          <w:tcPr>
            <w:tcW w:type="dxa" w:w="1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NFR-M5</w:t>
            </w:r>
          </w:p>
        </w:tc>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Environment variable documentation</w:t>
            </w:r>
          </w:p>
        </w:tc>
        <w:tc>
          <w:tcPr>
            <w:tcW w:type="dxa" w:w="57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 .env.example file must list all required environment variable names with descriptions. No actual secret values may appear in this file or anywhere in the repository.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NFR-M6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Component structure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React components must follow the structure documented in NE-FR-001 (Implementation Sequencing section). Reusable components (DestinationCard, CategoryTile, RegionTile, ChatbotPanel) must be in /components and must not contain page-specific logic.</w:t>
            </w:r>
          </w:p>
        </w:tc>
      </w:tr>
      <w:tr>
        <w:tc>
          <w:tcPr>
            <w:tcW w:type="dxa" w:w="1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NFR-M7</w:t>
            </w:r>
          </w:p>
        </w:tc>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API route documentation</w:t>
            </w:r>
          </w:p>
        </w:tc>
        <w:tc>
          <w:tcPr>
            <w:tcW w:type="dxa" w:w="57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Each Next.js API route (/api/chat, /api/search, /api/reviews/highlights, /api/agency/[slug]/contact, /api/payment/*) must have an inline JSDoc comment describing: method, required auth, request body schema, and response schema.</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4.6.3  Monitoring and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ID</w:t>
            </w:r>
          </w:p>
        </w:tc>
        <w:tc>
          <w:tcPr>
            <w:tcW w:type="dxa" w:w="24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Requirement</w:t>
            </w:r>
          </w:p>
        </w:tc>
        <w:tc>
          <w:tcPr>
            <w:tcW w:type="dxa" w:w="576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Detail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NFR-M8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Error logging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All server-side errors (API route failures, database errors, payment webhook errors, chatbot API failures) must be logged with a timestamp, error code, and sanitised request context. No user PII (email, name, card data) may appear in logs.</w:t>
            </w:r>
          </w:p>
        </w:tc>
      </w:tr>
      <w:tr>
        <w:tc>
          <w:tcPr>
            <w:tcW w:type="dxa" w:w="1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NFR-M9</w:t>
            </w:r>
          </w:p>
        </w:tc>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Client-side error boundaries</w:t>
            </w:r>
          </w:p>
        </w:tc>
        <w:tc>
          <w:tcPr>
            <w:tcW w:type="dxa" w:w="57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All React page components must be wrapped in an error boundary that displays a user-friendly error message instead of crashing the page when a client-side error occurs.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NFR-M10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404 and 500 pages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Custom 404 (page not found) and 500 (server error) pages must be implemented. Both must maintain the site's navigation header and footer and provide links back to the homepage and browse page.</w:t>
            </w:r>
          </w:p>
        </w:tc>
      </w:tr>
      <w:tr>
        <w:tc>
          <w:tcPr>
            <w:tcW w:type="dxa" w:w="1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NFR-M11</w:t>
            </w:r>
          </w:p>
        </w:tc>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Vercel analytics</w:t>
            </w:r>
          </w:p>
        </w:tc>
        <w:tc>
          <w:tcPr>
            <w:tcW w:type="dxa" w:w="57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Vercel Analytics or an equivalent privacy-respecting analytics tool must be enabled to track page views, Core Web Vitals, and error rates. No personally identifiable data must be collected without user consent.</w:t>
            </w:r>
          </w:p>
        </w:tc>
      </w:tr>
    </w:tbl>
    <w:p>
      <w:r>
        <w:br w:type="page"/>
      </w:r>
    </w:p>
    <w:p>
      <w:pPr>
        <w:pStyle w:val="Heading1"/>
        <w:pBdr>
          <w:bottom w:val="single" w:color="1D9E75" w:sz="8" w:space="4"/>
        </w:pBdr>
        <w:spacing w:after="200" w:before="420"/>
      </w:pPr>
      <w:r>
        <w:rPr>
          <w:rFonts w:ascii="Arial" w:cs="Arial" w:eastAsia="Arial" w:hAnsi="Arial"/>
          <w:b/>
          <w:bCs/>
          <w:color w:val="0F6E56"/>
          <w:sz w:val="40"/>
          <w:szCs w:val="40"/>
        </w:rPr>
        <w:t xml:space="preserve">4.7  Compatibility</w:t>
      </w:r>
    </w:p>
    <w:p>
      <w:pPr>
        <w:spacing w:after="120" w:before="80"/>
      </w:pPr>
      <w:r>
        <w:rPr>
          <w:rFonts w:ascii="Arial" w:cs="Arial" w:eastAsia="Arial" w:hAnsi="Arial"/>
          <w:color w:val="111111"/>
          <w:sz w:val="22"/>
          <w:szCs w:val="22"/>
        </w:rPr>
        <w:t xml:space="preserve">Compatibility requirements define which browsers, devices, and operating systems the platform must support at launch.</w:t>
      </w:r>
    </w:p>
    <w:p>
      <w:r>
        <w:rPr>
          <w:sz w:val="14"/>
          <w:szCs w:val="14"/>
        </w:rPr>
        <w:t xml:space="preserve"/>
      </w:r>
    </w:p>
    <w:p>
      <w:pPr>
        <w:pStyle w:val="Heading2"/>
        <w:spacing w:after="140" w:before="300"/>
      </w:pPr>
      <w:r>
        <w:rPr>
          <w:rFonts w:ascii="Arial" w:cs="Arial" w:eastAsia="Arial" w:hAnsi="Arial"/>
          <w:b/>
          <w:bCs/>
          <w:color w:val="2E2E2C"/>
          <w:sz w:val="28"/>
          <w:szCs w:val="28"/>
        </w:rPr>
        <w:t xml:space="preserve">4.7.1  Browser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ID</w:t>
            </w:r>
          </w:p>
        </w:tc>
        <w:tc>
          <w:tcPr>
            <w:tcW w:type="dxa" w:w="30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Requirement</w:t>
            </w:r>
          </w:p>
        </w:tc>
        <w:tc>
          <w:tcPr>
            <w:tcW w:type="dxa" w:w="516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Minimum supported version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NFR-C1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Google Chrome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Last 2 major versions (desktop and Android mobile)</w:t>
            </w:r>
          </w:p>
        </w:tc>
      </w:tr>
      <w:tr>
        <w:tc>
          <w:tcPr>
            <w:tcW w:type="dxa" w:w="1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NFR-C2</w:t>
            </w:r>
          </w:p>
        </w:tc>
        <w:tc>
          <w:tcPr>
            <w:tcW w:type="dxa" w:w="30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Safari</w:t>
            </w:r>
          </w:p>
        </w:tc>
        <w:tc>
          <w:tcPr>
            <w:tcW w:type="dxa" w:w="51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Last 2 major versions (macOS desktop and iOS mobile) — critical for Ethiopian diaspora on iPhone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NFR-C3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Mozilla Firefox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Last 2 major versions (desktop)</w:t>
            </w:r>
          </w:p>
        </w:tc>
      </w:tr>
      <w:tr>
        <w:tc>
          <w:tcPr>
            <w:tcW w:type="dxa" w:w="1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NFR-C4</w:t>
            </w:r>
          </w:p>
        </w:tc>
        <w:tc>
          <w:tcPr>
            <w:tcW w:type="dxa" w:w="30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Microsoft Edge</w:t>
            </w:r>
          </w:p>
        </w:tc>
        <w:tc>
          <w:tcPr>
            <w:tcW w:type="dxa" w:w="51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Last 2 major versions (desktop)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NFR-C5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Samsung Internet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Last 2 major versions — widely used on Android in Ethiopia</w:t>
            </w:r>
          </w:p>
        </w:tc>
      </w:tr>
      <w:tr>
        <w:tc>
          <w:tcPr>
            <w:tcW w:type="dxa" w:w="1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NFR-C6</w:t>
            </w:r>
          </w:p>
        </w:tc>
        <w:tc>
          <w:tcPr>
            <w:tcW w:type="dxa" w:w="30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Opera Mini</w:t>
            </w:r>
          </w:p>
        </w:tc>
        <w:tc>
          <w:tcPr>
            <w:tcW w:type="dxa" w:w="51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Content must be readable (degraded but functional) — significant usage in low-bandwidth African markets</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4.7.2  Device and OS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ID</w:t>
            </w:r>
          </w:p>
        </w:tc>
        <w:tc>
          <w:tcPr>
            <w:tcW w:type="dxa" w:w="24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Requirement</w:t>
            </w:r>
          </w:p>
        </w:tc>
        <w:tc>
          <w:tcPr>
            <w:tcW w:type="dxa" w:w="576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Detail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NFR-C7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Android mobile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Fully functional on Android 9.0 and above. The majority of Ethiopian domestic users access the web on Android.</w:t>
            </w:r>
          </w:p>
        </w:tc>
      </w:tr>
      <w:tr>
        <w:tc>
          <w:tcPr>
            <w:tcW w:type="dxa" w:w="1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NFR-C8</w:t>
            </w:r>
          </w:p>
        </w:tc>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iOS mobile</w:t>
            </w:r>
          </w:p>
        </w:tc>
        <w:tc>
          <w:tcPr>
            <w:tcW w:type="dxa" w:w="57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Fully functional on iOS 15 and above. Critical for Ethiopian diaspora users.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NFR-C9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Desktop operating systems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Fully functional on Windows 10+, macOS 12+, and Ubuntu 20.04 LTS.</w:t>
            </w:r>
          </w:p>
        </w:tc>
      </w:tr>
      <w:tr>
        <w:tc>
          <w:tcPr>
            <w:tcW w:type="dxa" w:w="1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NFR-C10</w:t>
            </w:r>
          </w:p>
        </w:tc>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Screen size range</w:t>
            </w:r>
          </w:p>
        </w:tc>
        <w:tc>
          <w:tcPr>
            <w:tcW w:type="dxa" w:w="57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Fully functional and visually correct from 320 px (small Android) to 2560 px (wide desktop monitor).</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4.7.3  Third-Party Integration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ID</w:t>
            </w:r>
          </w:p>
        </w:tc>
        <w:tc>
          <w:tcPr>
            <w:tcW w:type="dxa" w:w="24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Requirement</w:t>
            </w:r>
          </w:p>
        </w:tc>
        <w:tc>
          <w:tcPr>
            <w:tcW w:type="dxa" w:w="576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Detail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NFR-C11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OpenStreetMap / Leaflet.js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The interactive map (FR-3.7) must function on all supported browsers. Leaflet.js must be dynamically imported to prevent SSR conflicts.</w:t>
            </w:r>
          </w:p>
        </w:tc>
      </w:tr>
      <w:tr>
        <w:tc>
          <w:tcPr>
            <w:tcW w:type="dxa" w:w="1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NFR-C12</w:t>
            </w:r>
          </w:p>
        </w:tc>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Chapa payment gateway</w:t>
            </w:r>
          </w:p>
        </w:tc>
        <w:tc>
          <w:tcPr>
            <w:tcW w:type="dxa" w:w="57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Payment flow must complete successfully on mobile Chrome and mobile Safari — the primary browsers of Ethiopian users making ETB payments.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NFR-C13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Stripe payment gateway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Payment flow must complete on all supported desktop browsers for international users making card payments.</w:t>
            </w:r>
          </w:p>
        </w:tc>
      </w:tr>
      <w:tr>
        <w:tc>
          <w:tcPr>
            <w:tcW w:type="dxa" w:w="1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NFR-C14</w:t>
            </w:r>
          </w:p>
        </w:tc>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Supabase Auth</w:t>
            </w:r>
          </w:p>
        </w:tc>
        <w:tc>
          <w:tcPr>
            <w:tcW w:type="dxa" w:w="57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Email verification links must open correctly on mobile email clients (Gmail app, Apple Mail) and redirect correctly to the platform.</w:t>
            </w:r>
          </w:p>
        </w:tc>
      </w:tr>
    </w:tbl>
    <w:p>
      <w:r>
        <w:br w:type="page"/>
      </w:r>
    </w:p>
    <w:p>
      <w:pPr>
        <w:pStyle w:val="Heading1"/>
        <w:pBdr>
          <w:bottom w:val="single" w:color="1D9E75" w:sz="8" w:space="4"/>
        </w:pBdr>
        <w:spacing w:after="200" w:before="420"/>
      </w:pPr>
      <w:r>
        <w:rPr>
          <w:rFonts w:ascii="Arial" w:cs="Arial" w:eastAsia="Arial" w:hAnsi="Arial"/>
          <w:b/>
          <w:bCs/>
          <w:color w:val="0F6E56"/>
          <w:sz w:val="40"/>
          <w:szCs w:val="40"/>
        </w:rPr>
        <w:t xml:space="preserve">4.8  Legal and Compliance</w:t>
      </w:r>
    </w:p>
    <w:p>
      <w:pPr>
        <w:spacing w:after="120" w:before="80"/>
      </w:pPr>
      <w:r>
        <w:rPr>
          <w:rFonts w:ascii="Arial" w:cs="Arial" w:eastAsia="Arial" w:hAnsi="Arial"/>
          <w:color w:val="111111"/>
          <w:sz w:val="22"/>
          <w:szCs w:val="22"/>
        </w:rPr>
        <w:t xml:space="preserve">Legal requirements govern data handling, payment processing, content accuracy, and the platform's responsibilities to its users under applicable regulations.</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ID</w:t>
            </w:r>
          </w:p>
        </w:tc>
        <w:tc>
          <w:tcPr>
            <w:tcW w:type="dxa" w:w="24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Requirement</w:t>
            </w:r>
          </w:p>
        </w:tc>
        <w:tc>
          <w:tcPr>
            <w:tcW w:type="dxa" w:w="576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Detail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NFR-L1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Privacy policy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 Privacy Policy page must be published at /privacy before v1.0 launch. It must describe: what user data is collected (name, email, country, reviews, booking history), how it is used, how long it is retained, and how users can request deletion.</w:t>
            </w:r>
          </w:p>
        </w:tc>
      </w:tr>
      <w:tr>
        <w:tc>
          <w:tcPr>
            <w:tcW w:type="dxa" w:w="1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NFR-L2</w:t>
            </w:r>
          </w:p>
        </w:tc>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Terms of service</w:t>
            </w:r>
          </w:p>
        </w:tc>
        <w:tc>
          <w:tcPr>
            <w:tcW w:type="dxa" w:w="57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Terms of Service must be published at /terms before v1.0 launch. Users must acknowledge the Terms on registration. The Terms must cover: platform usage rules, review content standards, agency listing terms, payment and refund policy framework, and liability limitations regarding destination safety information.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NFR-L3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Cookie consent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The platform must display a cookie consent banner on first visit informing users that essential cookies (session management) are used. No non-essential cookies (analytics, advertising) may be set before consent. Analytics (NFR-M11) must use a consent-respecting implementation.</w:t>
            </w:r>
          </w:p>
        </w:tc>
      </w:tr>
      <w:tr>
        <w:tc>
          <w:tcPr>
            <w:tcW w:type="dxa" w:w="1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NFR-L4</w:t>
            </w:r>
          </w:p>
        </w:tc>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Payment compliance</w:t>
            </w:r>
          </w:p>
        </w:tc>
        <w:tc>
          <w:tcPr>
            <w:tcW w:type="dxa" w:w="57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All payment processing must comply with the terms of service of Chapa (for ETB transactions in Ethiopia) and Stripe (for international card transactions). The platform must not process payments in currencies other than ETB and USD in v1.0.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NFR-L5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Tourism information disclaimer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All destination safety information, cultural guidance, and travel advisories provided by the AI chatbot and static content must include a disclaimer stating that information is provided for general guidance only and visitors should verify current conditions with official sources and licensed guides.</w:t>
            </w:r>
          </w:p>
        </w:tc>
      </w:tr>
      <w:tr>
        <w:tc>
          <w:tcPr>
            <w:tcW w:type="dxa" w:w="1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NFR-L6</w:t>
            </w:r>
          </w:p>
        </w:tc>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User data deletion</w:t>
            </w:r>
          </w:p>
        </w:tc>
        <w:tc>
          <w:tcPr>
            <w:tcW w:type="dxa" w:w="57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Authenticated users must be able to request deletion of their account and associated data (profile, reviews, booking history) via their profile page or by contacting support. Deletion must be completed within 30 days of request.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NFR-L7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Review content ownership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The Terms of Service must state that users retain ownership of their review content but grant Nu Ethiopia a non-exclusive licence to display it on the platform. Removed reviews must be deleted from the database, not merely hidden.</w:t>
            </w:r>
          </w:p>
        </w:tc>
      </w:tr>
    </w:tbl>
    <w:p>
      <w:r>
        <w:br w:type="page"/>
      </w:r>
    </w:p>
    <w:p>
      <w:pPr>
        <w:pStyle w:val="Heading1"/>
        <w:pBdr>
          <w:bottom w:val="single" w:color="1D9E75" w:sz="8" w:space="4"/>
        </w:pBdr>
        <w:spacing w:after="200" w:before="420"/>
      </w:pPr>
      <w:r>
        <w:rPr>
          <w:rFonts w:ascii="Arial" w:cs="Arial" w:eastAsia="Arial" w:hAnsi="Arial"/>
          <w:b/>
          <w:bCs/>
          <w:color w:val="0F6E56"/>
          <w:sz w:val="40"/>
          <w:szCs w:val="40"/>
        </w:rPr>
        <w:t xml:space="preserve">4.9  Internationalisation and Localisation</w:t>
      </w:r>
    </w:p>
    <w:p>
      <w:pPr>
        <w:spacing w:after="120" w:before="80"/>
      </w:pPr>
      <w:r>
        <w:rPr>
          <w:rFonts w:ascii="Arial" w:cs="Arial" w:eastAsia="Arial" w:hAnsi="Arial"/>
          <w:color w:val="111111"/>
          <w:sz w:val="22"/>
          <w:szCs w:val="22"/>
        </w:rPr>
        <w:t xml:space="preserve">Nu Ethiopia v1.0 is English-only. However, the platform architecture must support Amharic localisation in v2.0 without requiring significant refactoring.</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ID</w:t>
            </w:r>
          </w:p>
        </w:tc>
        <w:tc>
          <w:tcPr>
            <w:tcW w:type="dxa" w:w="24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Requirement</w:t>
            </w:r>
          </w:p>
        </w:tc>
        <w:tc>
          <w:tcPr>
            <w:tcW w:type="dxa" w:w="576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Detail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NFR-I1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i18n-ready architecture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All user-facing string content must be stored in language resource files (e.g., en.json) rather than hardcoded in JSX components. The Next.js i18n routing configuration must be initialised (defaultLocale: 'en') even though only English is active in v1.0.</w:t>
            </w:r>
          </w:p>
        </w:tc>
      </w:tr>
      <w:tr>
        <w:tc>
          <w:tcPr>
            <w:tcW w:type="dxa" w:w="1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NFR-I2</w:t>
            </w:r>
          </w:p>
        </w:tc>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Amharic character rendering</w:t>
            </w:r>
          </w:p>
        </w:tc>
        <w:tc>
          <w:tcPr>
            <w:tcW w:type="dxa" w:w="57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All pages must correctly render Amharic script (Unicode block U+1200–U+137F) wherever it appears — in the platform name (ኑ ጦቢያ), destination names, and any v2 translated content. The font stack must include a fallback that supports Ethiopic Unicode.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NFR-I3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Date and number formatting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All dates must be formatted in a locale-neutral format (e.g., 15 May 2026 — not 5/15/26) to avoid confusion between international users. Distances, prices (ETB/USD), and ratings must use their respective units explicitly labelled.</w:t>
            </w:r>
          </w:p>
        </w:tc>
      </w:tr>
      <w:tr>
        <w:tc>
          <w:tcPr>
            <w:tcW w:type="dxa" w:w="1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NFR-I4</w:t>
            </w:r>
          </w:p>
        </w:tc>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RTL layout preparation</w:t>
            </w:r>
          </w:p>
        </w:tc>
        <w:tc>
          <w:tcPr>
            <w:tcW w:type="dxa" w:w="57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Although no RTL language is planned for v1 or v2, the CSS must not use directional properties (margin-left, padding-right) where logical properties (margin-inline-start, padding-inline-end) are available, to ease future RTL support.</w:t>
            </w:r>
          </w:p>
        </w:tc>
      </w:tr>
    </w:tbl>
    <w:p>
      <w:r>
        <w:br w:type="page"/>
      </w:r>
    </w:p>
    <w:p>
      <w:pPr>
        <w:pStyle w:val="Heading1"/>
        <w:pBdr>
          <w:bottom w:val="single" w:color="1D9E75" w:sz="8" w:space="4"/>
        </w:pBdr>
        <w:spacing w:after="200" w:before="420"/>
      </w:pPr>
      <w:r>
        <w:rPr>
          <w:rFonts w:ascii="Arial" w:cs="Arial" w:eastAsia="Arial" w:hAnsi="Arial"/>
          <w:b/>
          <w:bCs/>
          <w:color w:val="0F6E56"/>
          <w:sz w:val="40"/>
          <w:szCs w:val="40"/>
        </w:rPr>
        <w:t xml:space="preserve">4.10  NFR Verification and Test Matrix</w:t>
      </w:r>
    </w:p>
    <w:p>
      <w:pPr>
        <w:spacing w:after="120" w:before="80"/>
      </w:pPr>
      <w:r>
        <w:rPr>
          <w:rFonts w:ascii="Arial" w:cs="Arial" w:eastAsia="Arial" w:hAnsi="Arial"/>
          <w:color w:val="111111"/>
          <w:sz w:val="22"/>
          <w:szCs w:val="22"/>
        </w:rPr>
        <w:t xml:space="preserve">Every non-functional requirement must be verified before the v1.0 launch checklist is signed off. The following table maps each NFR category to its verification method and the responsible party.</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1600"/>
        <w:gridCol w:w="1760"/>
      </w:tblGrid>
      <w:tr>
        <w:tc>
          <w:tcPr>
            <w:tcW w:type="dxa" w:w="20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NFR category</w:t>
            </w:r>
          </w:p>
        </w:tc>
        <w:tc>
          <w:tcPr>
            <w:tcW w:type="dxa" w:w="22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Verification method</w:t>
            </w:r>
          </w:p>
        </w:tc>
        <w:tc>
          <w:tcPr>
            <w:tcW w:type="dxa" w:w="18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Tool / Standard</w:t>
            </w:r>
          </w:p>
        </w:tc>
        <w:tc>
          <w:tcPr>
            <w:tcW w:type="dxa" w:w="16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Responsible</w:t>
            </w:r>
          </w:p>
        </w:tc>
        <w:tc>
          <w:tcPr>
            <w:tcW w:type="dxa" w:w="176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Timing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Performance (NFR-P1–P24)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Automated Lighthouse audit + manual load test on 4G throttled connection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Google PageSpeed Insights, WebPageTest, Chrome DevTools network throttle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Frontend developer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Before each production deployment</w:t>
            </w:r>
          </w:p>
        </w:tc>
      </w:tr>
      <w:tr>
        <w:tc>
          <w:tcPr>
            <w:tcW w:type="dxa" w:w="20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Usability — responsive (NFR-U1–U4)</w:t>
            </w:r>
          </w:p>
        </w:tc>
        <w:tc>
          <w:tcPr>
            <w:tcW w:type="dxa" w:w="2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Manual testing on physical devices: iPhone 12, Android mid-range, desktop 1080p</w:t>
            </w:r>
          </w:p>
        </w:tc>
        <w:tc>
          <w:tcPr>
            <w:tcW w:type="dxa" w:w="18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BrowserStack or physical device lab</w:t>
            </w:r>
          </w:p>
        </w:tc>
        <w:tc>
          <w:tcPr>
            <w:tcW w:type="dxa" w:w="16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QA tester</w:t>
            </w:r>
          </w:p>
        </w:tc>
        <w:tc>
          <w:tcPr>
            <w:tcW w:type="dxa" w:w="17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Pre-launch &amp; after major UI changes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Accessibility (NFR-U5–U13)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Automated axe scan + manual keyboard + screen reader walkthrough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Axe DevTools, Lighthouse Accessibility, NVDA or VoiceOver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QA tester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Pre-launch full audit; automated scan per deployment</w:t>
            </w:r>
          </w:p>
        </w:tc>
      </w:tr>
      <w:tr>
        <w:tc>
          <w:tcPr>
            <w:tcW w:type="dxa" w:w="20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Security (NFR-S1–S20)</w:t>
            </w:r>
          </w:p>
        </w:tc>
        <w:tc>
          <w:tcPr>
            <w:tcW w:type="dxa" w:w="2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Automated header scan + manual penetration test checklist + payment sandbox test</w:t>
            </w:r>
          </w:p>
        </w:tc>
        <w:tc>
          <w:tcPr>
            <w:tcW w:type="dxa" w:w="18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securityheaders.com, OWASP ZAP (basic scan), Stripe/Chapa test mode</w:t>
            </w:r>
          </w:p>
        </w:tc>
        <w:tc>
          <w:tcPr>
            <w:tcW w:type="dxa" w:w="16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Developer + external review if budget permits</w:t>
            </w:r>
          </w:p>
        </w:tc>
        <w:tc>
          <w:tcPr>
            <w:tcW w:type="dxa" w:w="17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Pre-launch; after any auth or payment change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Reliability (NFR-R1–R12)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Uptime monitoring + manual API kill test (disable chatbot API, simulate payment failure)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Vercel status page, manual kill test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Developer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Pre-launch simulation; monthly monitoring post-launch</w:t>
            </w:r>
          </w:p>
        </w:tc>
      </w:tr>
      <w:tr>
        <w:tc>
          <w:tcPr>
            <w:tcW w:type="dxa" w:w="20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Scalability (NFR-SC1–SC7)</w:t>
            </w:r>
          </w:p>
        </w:tc>
        <w:tc>
          <w:tcPr>
            <w:tcW w:type="dxa" w:w="2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Load test with seeded data (500 destinations, 10,000 users, 50,000 reviews)</w:t>
            </w:r>
          </w:p>
        </w:tc>
        <w:tc>
          <w:tcPr>
            <w:tcW w:type="dxa" w:w="18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k6 or Artillery load testing tool</w:t>
            </w:r>
          </w:p>
        </w:tc>
        <w:tc>
          <w:tcPr>
            <w:tcW w:type="dxa" w:w="16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Developer</w:t>
            </w:r>
          </w:p>
        </w:tc>
        <w:tc>
          <w:tcPr>
            <w:tcW w:type="dxa" w:w="17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Pre-launch with production-scale data seed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Maintainability (NFR-M1–M11)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Documentation review + new-developer onboarding dry run (can a new dev set up in &lt; 1 hr?)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Manual review against README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Project lead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Pre-launch; updated after each major feature addition</w:t>
            </w:r>
          </w:p>
        </w:tc>
      </w:tr>
      <w:tr>
        <w:tc>
          <w:tcPr>
            <w:tcW w:type="dxa" w:w="20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Compatibility (NFR-C1–C14)</w:t>
            </w:r>
          </w:p>
        </w:tc>
        <w:tc>
          <w:tcPr>
            <w:tcW w:type="dxa" w:w="2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Cross-browser and cross-device manual test matrix</w:t>
            </w:r>
          </w:p>
        </w:tc>
        <w:tc>
          <w:tcPr>
            <w:tcW w:type="dxa" w:w="18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BrowserStack, physical iOS and Android devices</w:t>
            </w:r>
          </w:p>
        </w:tc>
        <w:tc>
          <w:tcPr>
            <w:tcW w:type="dxa" w:w="16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QA tester</w:t>
            </w:r>
          </w:p>
        </w:tc>
        <w:tc>
          <w:tcPr>
            <w:tcW w:type="dxa" w:w="17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Pre-launch; after major UI changes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Legal (NFR-L1–L7)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Legal content review + consent flow walkthrough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Manual review by project lead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Project lead + legal review if available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Before v1.0 launch; before v2.0 launch</w:t>
            </w:r>
          </w:p>
        </w:tc>
      </w:tr>
      <w:tr>
        <w:tc>
          <w:tcPr>
            <w:tcW w:type="dxa" w:w="20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Internationalisation (NFR-I1–I4)</w:t>
            </w:r>
          </w:p>
        </w:tc>
        <w:tc>
          <w:tcPr>
            <w:tcW w:type="dxa" w:w="2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Code review of i18n setup + Amharic render test on all pages</w:t>
            </w:r>
          </w:p>
        </w:tc>
        <w:tc>
          <w:tcPr>
            <w:tcW w:type="dxa" w:w="18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Manual code review, browser render test</w:t>
            </w:r>
          </w:p>
        </w:tc>
        <w:tc>
          <w:tcPr>
            <w:tcW w:type="dxa" w:w="16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Developer</w:t>
            </w:r>
          </w:p>
        </w:tc>
        <w:tc>
          <w:tcPr>
            <w:tcW w:type="dxa" w:w="17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Pre-launch; before v2.0 Amharic activation</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8F5E9" w:val="clear"/>
            <w:tcMar>
              <w:top w:type="dxa" w:w="100"/>
              <w:left w:type="dxa" w:w="160"/>
              <w:bottom w:type="dxa" w:w="80"/>
              <w:right w:type="dxa" w:w="160"/>
            </w:tcMar>
          </w:tcPr>
          <w:p>
            <w:r>
              <w:rPr>
                <w:rFonts w:ascii="Arial" w:cs="Arial" w:eastAsia="Arial" w:hAnsi="Arial"/>
                <w:b/>
                <w:bCs/>
                <w:color w:val="1B5E20"/>
                <w:sz w:val="22"/>
                <w:szCs w:val="22"/>
              </w:rPr>
              <w:t xml:space="preserve">NFR launch gate criteria — all must pass before v1.0 goes live</w:t>
            </w:r>
          </w:p>
        </w:tc>
      </w:tr>
      <w:tr>
        <w:tc>
          <w:tcPr>
            <w:tcW w:type="dxa" w:w="9360"/>
            <w:tcBorders>
              <w:top w:val="single" w:color="AAAAAA" w:sz="1"/>
              <w:left w:val="single" w:color="AAAAAA" w:sz="1"/>
              <w:bottom w:val="single" w:color="AAAAAA" w:sz="1"/>
              <w:right w:val="single" w:color="AAAAAA" w:sz="1"/>
            </w:tcBorders>
            <w:shd w:fill="FFFFFF" w:val="clear"/>
            <w:tcMar>
              <w:top w:type="dxa" w:w="70"/>
              <w:left w:type="dxa" w:w="160"/>
              <w:bottom w:type="dxa" w:w="70"/>
              <w:right w:type="dxa" w:w="160"/>
            </w:tcMar>
          </w:tcPr>
          <w:p>
            <w:r>
              <w:rPr>
                <w:rFonts w:ascii="Arial" w:cs="Arial" w:eastAsia="Arial" w:hAnsi="Arial"/>
                <w:color w:val="111111"/>
                <w:sz w:val="21"/>
                <w:szCs w:val="21"/>
              </w:rPr>
              <w:t xml:space="preserve">  ✔  Google PageSpeed score ≥ 85 on mobile for homepage, browse, and destination detail pages</w:t>
            </w:r>
          </w:p>
        </w:tc>
      </w:tr>
      <w:tr>
        <w:tc>
          <w:tcPr>
            <w:tcW w:type="dxa" w:w="9360"/>
            <w:tcBorders>
              <w:top w:val="single" w:color="AAAAAA" w:sz="1"/>
              <w:left w:val="single" w:color="AAAAAA" w:sz="1"/>
              <w:bottom w:val="single" w:color="AAAAAA" w:sz="1"/>
              <w:right w:val="single" w:color="AAAAAA" w:sz="1"/>
            </w:tcBorders>
            <w:shd w:fill="F2F0EB" w:val="clear"/>
            <w:tcMar>
              <w:top w:type="dxa" w:w="70"/>
              <w:left w:type="dxa" w:w="160"/>
              <w:bottom w:type="dxa" w:w="70"/>
              <w:right w:type="dxa" w:w="160"/>
            </w:tcMar>
          </w:tcPr>
          <w:p>
            <w:r>
              <w:rPr>
                <w:rFonts w:ascii="Arial" w:cs="Arial" w:eastAsia="Arial" w:hAnsi="Arial"/>
                <w:color w:val="111111"/>
                <w:sz w:val="21"/>
                <w:szCs w:val="21"/>
              </w:rPr>
              <w:t xml:space="preserve">  ✔  Zero WCAG 2.1 Level AA critical violations (Axe automated scan)</w:t>
            </w:r>
          </w:p>
        </w:tc>
      </w:tr>
      <w:tr>
        <w:tc>
          <w:tcPr>
            <w:tcW w:type="dxa" w:w="9360"/>
            <w:tcBorders>
              <w:top w:val="single" w:color="AAAAAA" w:sz="1"/>
              <w:left w:val="single" w:color="AAAAAA" w:sz="1"/>
              <w:bottom w:val="single" w:color="AAAAAA" w:sz="1"/>
              <w:right w:val="single" w:color="AAAAAA" w:sz="1"/>
            </w:tcBorders>
            <w:shd w:fill="FFFFFF" w:val="clear"/>
            <w:tcMar>
              <w:top w:type="dxa" w:w="70"/>
              <w:left w:type="dxa" w:w="160"/>
              <w:bottom w:type="dxa" w:w="70"/>
              <w:right w:type="dxa" w:w="160"/>
            </w:tcMar>
          </w:tcPr>
          <w:p>
            <w:r>
              <w:rPr>
                <w:rFonts w:ascii="Arial" w:cs="Arial" w:eastAsia="Arial" w:hAnsi="Arial"/>
                <w:color w:val="111111"/>
                <w:sz w:val="21"/>
                <w:szCs w:val="21"/>
              </w:rPr>
              <w:t xml:space="preserve">  ✔  All security headers present and correctly configured (securityheaders.com grade A or above)</w:t>
            </w:r>
          </w:p>
        </w:tc>
      </w:tr>
      <w:tr>
        <w:tc>
          <w:tcPr>
            <w:tcW w:type="dxa" w:w="9360"/>
            <w:tcBorders>
              <w:top w:val="single" w:color="AAAAAA" w:sz="1"/>
              <w:left w:val="single" w:color="AAAAAA" w:sz="1"/>
              <w:bottom w:val="single" w:color="AAAAAA" w:sz="1"/>
              <w:right w:val="single" w:color="AAAAAA" w:sz="1"/>
            </w:tcBorders>
            <w:shd w:fill="F2F0EB" w:val="clear"/>
            <w:tcMar>
              <w:top w:type="dxa" w:w="70"/>
              <w:left w:type="dxa" w:w="160"/>
              <w:bottom w:type="dxa" w:w="70"/>
              <w:right w:type="dxa" w:w="160"/>
            </w:tcMar>
          </w:tcPr>
          <w:p>
            <w:r>
              <w:rPr>
                <w:rFonts w:ascii="Arial" w:cs="Arial" w:eastAsia="Arial" w:hAnsi="Arial"/>
                <w:color w:val="111111"/>
                <w:sz w:val="21"/>
                <w:szCs w:val="21"/>
              </w:rPr>
              <w:t xml:space="preserve">  ✔  Anthropic API key confirmed absent from all browser network requests</w:t>
            </w:r>
          </w:p>
        </w:tc>
      </w:tr>
      <w:tr>
        <w:tc>
          <w:tcPr>
            <w:tcW w:type="dxa" w:w="9360"/>
            <w:tcBorders>
              <w:top w:val="single" w:color="AAAAAA" w:sz="1"/>
              <w:left w:val="single" w:color="AAAAAA" w:sz="1"/>
              <w:bottom w:val="single" w:color="AAAAAA" w:sz="1"/>
              <w:right w:val="single" w:color="AAAAAA" w:sz="1"/>
            </w:tcBorders>
            <w:shd w:fill="FFFFFF" w:val="clear"/>
            <w:tcMar>
              <w:top w:type="dxa" w:w="70"/>
              <w:left w:type="dxa" w:w="160"/>
              <w:bottom w:type="dxa" w:w="70"/>
              <w:right w:type="dxa" w:w="160"/>
            </w:tcMar>
          </w:tcPr>
          <w:p>
            <w:r>
              <w:rPr>
                <w:rFonts w:ascii="Arial" w:cs="Arial" w:eastAsia="Arial" w:hAnsi="Arial"/>
                <w:color w:val="111111"/>
                <w:sz w:val="21"/>
                <w:szCs w:val="21"/>
              </w:rPr>
              <w:t xml:space="preserve">  ✔  No raw card data present in database, logs, or network traffic</w:t>
            </w:r>
          </w:p>
        </w:tc>
      </w:tr>
      <w:tr>
        <w:tc>
          <w:tcPr>
            <w:tcW w:type="dxa" w:w="9360"/>
            <w:tcBorders>
              <w:top w:val="single" w:color="AAAAAA" w:sz="1"/>
              <w:left w:val="single" w:color="AAAAAA" w:sz="1"/>
              <w:bottom w:val="single" w:color="AAAAAA" w:sz="1"/>
              <w:right w:val="single" w:color="AAAAAA" w:sz="1"/>
            </w:tcBorders>
            <w:shd w:fill="F2F0EB" w:val="clear"/>
            <w:tcMar>
              <w:top w:type="dxa" w:w="70"/>
              <w:left w:type="dxa" w:w="160"/>
              <w:bottom w:type="dxa" w:w="70"/>
              <w:right w:type="dxa" w:w="160"/>
            </w:tcMar>
          </w:tcPr>
          <w:p>
            <w:r>
              <w:rPr>
                <w:rFonts w:ascii="Arial" w:cs="Arial" w:eastAsia="Arial" w:hAnsi="Arial"/>
                <w:color w:val="111111"/>
                <w:sz w:val="21"/>
                <w:szCs w:val="21"/>
              </w:rPr>
              <w:t xml:space="preserve">  ✔  Payment flows (Chapa ETB + Stripe international) complete successfully in test mode</w:t>
            </w:r>
          </w:p>
        </w:tc>
      </w:tr>
      <w:tr>
        <w:tc>
          <w:tcPr>
            <w:tcW w:type="dxa" w:w="9360"/>
            <w:tcBorders>
              <w:top w:val="single" w:color="AAAAAA" w:sz="1"/>
              <w:left w:val="single" w:color="AAAAAA" w:sz="1"/>
              <w:bottom w:val="single" w:color="AAAAAA" w:sz="1"/>
              <w:right w:val="single" w:color="AAAAAA" w:sz="1"/>
            </w:tcBorders>
            <w:shd w:fill="FFFFFF" w:val="clear"/>
            <w:tcMar>
              <w:top w:type="dxa" w:w="70"/>
              <w:left w:type="dxa" w:w="160"/>
              <w:bottom w:type="dxa" w:w="70"/>
              <w:right w:type="dxa" w:w="160"/>
            </w:tcMar>
          </w:tcPr>
          <w:p>
            <w:r>
              <w:rPr>
                <w:rFonts w:ascii="Arial" w:cs="Arial" w:eastAsia="Arial" w:hAnsi="Arial"/>
                <w:color w:val="111111"/>
                <w:sz w:val="21"/>
                <w:szCs w:val="21"/>
              </w:rPr>
              <w:t xml:space="preserve">  ✔  Chatbot fallback message displays when AI API is disabled</w:t>
            </w:r>
          </w:p>
        </w:tc>
      </w:tr>
      <w:tr>
        <w:tc>
          <w:tcPr>
            <w:tcW w:type="dxa" w:w="9360"/>
            <w:tcBorders>
              <w:top w:val="single" w:color="AAAAAA" w:sz="1"/>
              <w:left w:val="single" w:color="AAAAAA" w:sz="1"/>
              <w:bottom w:val="single" w:color="AAAAAA" w:sz="1"/>
              <w:right w:val="single" w:color="AAAAAA" w:sz="1"/>
            </w:tcBorders>
            <w:shd w:fill="F2F0EB" w:val="clear"/>
            <w:tcMar>
              <w:top w:type="dxa" w:w="70"/>
              <w:left w:type="dxa" w:w="160"/>
              <w:bottom w:type="dxa" w:w="70"/>
              <w:right w:type="dxa" w:w="160"/>
            </w:tcMar>
          </w:tcPr>
          <w:p>
            <w:r>
              <w:rPr>
                <w:rFonts w:ascii="Arial" w:cs="Arial" w:eastAsia="Arial" w:hAnsi="Arial"/>
                <w:color w:val="111111"/>
                <w:sz w:val="21"/>
                <w:szCs w:val="21"/>
              </w:rPr>
              <w:t xml:space="preserve">  ✔  All 14 region pages accessible and correctly populated</w:t>
            </w:r>
          </w:p>
        </w:tc>
      </w:tr>
      <w:tr>
        <w:tc>
          <w:tcPr>
            <w:tcW w:type="dxa" w:w="9360"/>
            <w:tcBorders>
              <w:top w:val="single" w:color="AAAAAA" w:sz="1"/>
              <w:left w:val="single" w:color="AAAAAA" w:sz="1"/>
              <w:bottom w:val="single" w:color="AAAAAA" w:sz="1"/>
              <w:right w:val="single" w:color="AAAAAA" w:sz="1"/>
            </w:tcBorders>
            <w:shd w:fill="FFFFFF" w:val="clear"/>
            <w:tcMar>
              <w:top w:type="dxa" w:w="70"/>
              <w:left w:type="dxa" w:w="160"/>
              <w:bottom w:type="dxa" w:w="70"/>
              <w:right w:type="dxa" w:w="160"/>
            </w:tcMar>
          </w:tcPr>
          <w:p>
            <w:r>
              <w:rPr>
                <w:rFonts w:ascii="Arial" w:cs="Arial" w:eastAsia="Arial" w:hAnsi="Arial"/>
                <w:color w:val="111111"/>
                <w:sz w:val="21"/>
                <w:szCs w:val="21"/>
              </w:rPr>
              <w:t xml:space="preserve">  ✔  Platform fully functional on Chrome (Android), Safari (iOS), and Chrome (desktop)</w:t>
            </w:r>
          </w:p>
        </w:tc>
      </w:tr>
      <w:tr>
        <w:tc>
          <w:tcPr>
            <w:tcW w:type="dxa" w:w="9360"/>
            <w:tcBorders>
              <w:top w:val="single" w:color="AAAAAA" w:sz="1"/>
              <w:left w:val="single" w:color="AAAAAA" w:sz="1"/>
              <w:bottom w:val="single" w:color="AAAAAA" w:sz="1"/>
              <w:right w:val="single" w:color="AAAAAA" w:sz="1"/>
            </w:tcBorders>
            <w:shd w:fill="F2F0EB" w:val="clear"/>
            <w:tcMar>
              <w:top w:type="dxa" w:w="70"/>
              <w:left w:type="dxa" w:w="160"/>
              <w:bottom w:type="dxa" w:w="70"/>
              <w:right w:type="dxa" w:w="160"/>
            </w:tcMar>
          </w:tcPr>
          <w:p>
            <w:r>
              <w:rPr>
                <w:rFonts w:ascii="Arial" w:cs="Arial" w:eastAsia="Arial" w:hAnsi="Arial"/>
                <w:color w:val="111111"/>
                <w:sz w:val="21"/>
                <w:szCs w:val="21"/>
              </w:rPr>
              <w:t xml:space="preserve">  ✔  Privacy Policy and Terms of Service pages published</w:t>
            </w:r>
          </w:p>
        </w:tc>
      </w:tr>
      <w:tr>
        <w:tc>
          <w:tcPr>
            <w:tcW w:type="dxa" w:w="9360"/>
            <w:tcBorders>
              <w:top w:val="single" w:color="AAAAAA" w:sz="1"/>
              <w:left w:val="single" w:color="AAAAAA" w:sz="1"/>
              <w:bottom w:val="single" w:color="AAAAAA" w:sz="1"/>
              <w:right w:val="single" w:color="AAAAAA" w:sz="1"/>
            </w:tcBorders>
            <w:shd w:fill="FFFFFF" w:val="clear"/>
            <w:tcMar>
              <w:top w:type="dxa" w:w="70"/>
              <w:left w:type="dxa" w:w="160"/>
              <w:bottom w:type="dxa" w:w="70"/>
              <w:right w:type="dxa" w:w="160"/>
            </w:tcMar>
          </w:tcPr>
          <w:p>
            <w:r>
              <w:rPr>
                <w:rFonts w:ascii="Arial" w:cs="Arial" w:eastAsia="Arial" w:hAnsi="Arial"/>
                <w:color w:val="111111"/>
                <w:sz w:val="21"/>
                <w:szCs w:val="21"/>
              </w:rPr>
              <w:t xml:space="preserve">  ✔  Cookie consent banner functional</w:t>
            </w:r>
          </w:p>
        </w:tc>
      </w:tr>
      <w:tr>
        <w:tc>
          <w:tcPr>
            <w:tcW w:type="dxa" w:w="9360"/>
            <w:tcBorders>
              <w:top w:val="single" w:color="AAAAAA" w:sz="1"/>
              <w:left w:val="single" w:color="AAAAAA" w:sz="1"/>
              <w:bottom w:val="single" w:color="AAAAAA" w:sz="1"/>
              <w:right w:val="single" w:color="AAAAAA" w:sz="1"/>
            </w:tcBorders>
            <w:shd w:fill="F2F0EB" w:val="clear"/>
            <w:tcMar>
              <w:top w:type="dxa" w:w="70"/>
              <w:left w:type="dxa" w:w="160"/>
              <w:bottom w:type="dxa" w:w="70"/>
              <w:right w:type="dxa" w:w="160"/>
            </w:tcMar>
          </w:tcPr>
          <w:p>
            <w:r>
              <w:rPr>
                <w:rFonts w:ascii="Arial" w:cs="Arial" w:eastAsia="Arial" w:hAnsi="Arial"/>
                <w:color w:val="111111"/>
                <w:sz w:val="21"/>
                <w:szCs w:val="21"/>
              </w:rPr>
              <w:t xml:space="preserve">  ✔  README verified by a fresh developer setup walkthrough</w:t>
            </w:r>
          </w:p>
        </w:tc>
      </w:tr>
    </w:tbl>
    <w:p>
      <w:r>
        <w:br w:type="page"/>
      </w:r>
    </w:p>
    <w:p>
      <w:pPr>
        <w:pStyle w:val="Heading1"/>
        <w:pBdr>
          <w:bottom w:val="single" w:color="1D9E75" w:sz="8" w:space="4"/>
        </w:pBdr>
        <w:spacing w:after="200" w:before="420"/>
      </w:pPr>
      <w:r>
        <w:rPr>
          <w:rFonts w:ascii="Arial" w:cs="Arial" w:eastAsia="Arial" w:hAnsi="Arial"/>
          <w:b/>
          <w:bCs/>
          <w:color w:val="0F6E56"/>
          <w:sz w:val="40"/>
          <w:szCs w:val="40"/>
        </w:rPr>
        <w:t xml:space="preserve">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200"/>
        <w:gridCol w:w="4260"/>
      </w:tblGrid>
      <w:tr>
        <w:tc>
          <w:tcPr>
            <w:tcW w:type="dxa" w:w="9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Version</w:t>
            </w:r>
          </w:p>
        </w:tc>
        <w:tc>
          <w:tcPr>
            <w:tcW w:type="dxa" w:w="20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Date</w:t>
            </w:r>
          </w:p>
        </w:tc>
        <w:tc>
          <w:tcPr>
            <w:tcW w:type="dxa" w:w="22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Author</w:t>
            </w:r>
          </w:p>
        </w:tc>
        <w:tc>
          <w:tcPr>
            <w:tcW w:type="dxa" w:w="426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Summary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May 15, 2026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Amanuel Kindalem</w:t>
            </w:r>
          </w:p>
        </w:tc>
        <w:tc>
          <w:tcPr>
            <w:tcW w:type="dxa" w:w="4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Initial NFR draft — basic performance, usability, security, reliability, maintainability (5 sub-sections)</w:t>
            </w:r>
          </w:p>
        </w:tc>
      </w:tr>
      <w:tr>
        <w:tc>
          <w:tcPr>
            <w:tcW w:type="dxa" w:w="9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1.1</w:t>
            </w:r>
          </w:p>
        </w:tc>
        <w:tc>
          <w:tcPr>
            <w:tcW w:type="dxa" w:w="20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May 19, 2026</w:t>
            </w:r>
          </w:p>
        </w:tc>
        <w:tc>
          <w:tcPr>
            <w:tcW w:type="dxa" w:w="2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Amanuel Kindalem</w:t>
            </w:r>
          </w:p>
        </w:tc>
        <w:tc>
          <w:tcPr>
            <w:tcW w:type="dxa" w:w="42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Full NFR rewrite — 10 sub-sections, 70+ individual requirements, full-platform coverage aligned to all 12 FR modules (NE-FR-001 v1.1), NFR verification matrix, launch gate checklist, scalability, compatibility, legal/compliance, internationalisation added</w:t>
            </w:r>
          </w:p>
        </w:tc>
      </w:tr>
    </w:tbl>
    <w:p>
      <w:r>
        <w:rPr>
          <w:sz w:val="28"/>
          <w:szCs w:val="2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1F5EE" w:val="clear"/>
            <w:tcMar>
              <w:top w:type="dxa" w:w="100"/>
              <w:left w:type="dxa" w:w="160"/>
              <w:bottom w:type="dxa" w:w="80"/>
              <w:right w:type="dxa" w:w="160"/>
            </w:tcMar>
          </w:tcPr>
          <w:p>
            <w:r>
              <w:rPr>
                <w:rFonts w:ascii="Arial" w:cs="Arial" w:eastAsia="Arial" w:hAnsi="Arial"/>
                <w:b/>
                <w:bCs/>
                <w:color w:val="0F6E56"/>
                <w:sz w:val="22"/>
                <w:szCs w:val="22"/>
              </w:rPr>
              <w:t xml:space="preserve">End of Non-Functional Requirements — NE-NFR-001 v1.1</w:t>
            </w:r>
          </w:p>
        </w:tc>
      </w:tr>
      <w:tr>
        <w:tc>
          <w:tcPr>
            <w:tcW w:type="dxa" w:w="9360"/>
            <w:tcBorders>
              <w:top w:val="single" w:color="AAAAAA" w:sz="1"/>
              <w:left w:val="single" w:color="AAAAAA" w:sz="1"/>
              <w:bottom w:val="single" w:color="AAAAAA" w:sz="1"/>
              <w:right w:val="single" w:color="AAAAAA" w:sz="1"/>
            </w:tcBorders>
            <w:shd w:fill="FFFFFF" w:val="clear"/>
            <w:tcMar>
              <w:top w:type="dxa" w:w="70"/>
              <w:left w:type="dxa" w:w="160"/>
              <w:bottom w:type="dxa" w:w="70"/>
              <w:right w:type="dxa" w:w="160"/>
            </w:tcMar>
          </w:tcPr>
          <w:p>
            <w:r>
              <w:rPr>
                <w:rFonts w:ascii="Arial" w:cs="Arial" w:eastAsia="Arial" w:hAnsi="Arial"/>
                <w:color w:val="111111"/>
                <w:sz w:val="21"/>
                <w:szCs w:val="21"/>
              </w:rPr>
              <w:t xml:space="preserve">This document defines the complete non-functional requirements for Nu Ethiopia v1.0.</w:t>
            </w:r>
          </w:p>
        </w:tc>
      </w:tr>
      <w:tr>
        <w:tc>
          <w:tcPr>
            <w:tcW w:type="dxa" w:w="9360"/>
            <w:tcBorders>
              <w:top w:val="single" w:color="AAAAAA" w:sz="1"/>
              <w:left w:val="single" w:color="AAAAAA" w:sz="1"/>
              <w:bottom w:val="single" w:color="AAAAAA" w:sz="1"/>
              <w:right w:val="single" w:color="AAAAAA" w:sz="1"/>
            </w:tcBorders>
            <w:shd w:fill="F2F0EB" w:val="clear"/>
            <w:tcMar>
              <w:top w:type="dxa" w:w="70"/>
              <w:left w:type="dxa" w:w="160"/>
              <w:bottom w:type="dxa" w:w="70"/>
              <w:right w:type="dxa" w:w="160"/>
            </w:tcMar>
          </w:tcPr>
          <w:p>
            <w:r>
              <w:rPr>
                <w:rFonts w:ascii="Arial" w:cs="Arial" w:eastAsia="Arial" w:hAnsi="Arial"/>
                <w:color w:val="111111"/>
                <w:sz w:val="21"/>
                <w:szCs w:val="21"/>
              </w:rPr>
              <w:t xml:space="preserve">All requirements in this document must be verified against the test matrix in Section 4.10</w:t>
            </w:r>
          </w:p>
        </w:tc>
      </w:tr>
      <w:tr>
        <w:tc>
          <w:tcPr>
            <w:tcW w:type="dxa" w:w="9360"/>
            <w:tcBorders>
              <w:top w:val="single" w:color="AAAAAA" w:sz="1"/>
              <w:left w:val="single" w:color="AAAAAA" w:sz="1"/>
              <w:bottom w:val="single" w:color="AAAAAA" w:sz="1"/>
              <w:right w:val="single" w:color="AAAAAA" w:sz="1"/>
            </w:tcBorders>
            <w:shd w:fill="FFFFFF" w:val="clear"/>
            <w:tcMar>
              <w:top w:type="dxa" w:w="70"/>
              <w:left w:type="dxa" w:w="160"/>
              <w:bottom w:type="dxa" w:w="70"/>
              <w:right w:type="dxa" w:w="160"/>
            </w:tcMar>
          </w:tcPr>
          <w:p>
            <w:r>
              <w:rPr>
                <w:rFonts w:ascii="Arial" w:cs="Arial" w:eastAsia="Arial" w:hAnsi="Arial"/>
                <w:color w:val="111111"/>
                <w:sz w:val="21"/>
                <w:szCs w:val="21"/>
              </w:rPr>
              <w:t xml:space="preserve">and must pass the NFR launch gate criteria before v1.0 is deployed to production.</w:t>
            </w:r>
          </w:p>
        </w:tc>
      </w:tr>
      <w:tr>
        <w:tc>
          <w:tcPr>
            <w:tcW w:type="dxa" w:w="9360"/>
            <w:tcBorders>
              <w:top w:val="single" w:color="AAAAAA" w:sz="1"/>
              <w:left w:val="single" w:color="AAAAAA" w:sz="1"/>
              <w:bottom w:val="single" w:color="AAAAAA" w:sz="1"/>
              <w:right w:val="single" w:color="AAAAAA" w:sz="1"/>
            </w:tcBorders>
            <w:shd w:fill="F2F0EB" w:val="clear"/>
            <w:tcMar>
              <w:top w:type="dxa" w:w="70"/>
              <w:left w:type="dxa" w:w="160"/>
              <w:bottom w:type="dxa" w:w="70"/>
              <w:right w:type="dxa" w:w="160"/>
            </w:tcMar>
          </w:tcPr>
          <w:p>
            <w:r>
              <w:rPr>
                <w:rFonts w:ascii="Arial" w:cs="Arial" w:eastAsia="Arial" w:hAnsi="Arial"/>
                <w:color w:val="111111"/>
                <w:sz w:val="21"/>
                <w:szCs w:val="21"/>
              </w:rPr>
              <w:t xml:space="preserve">Document owner: Amanuel Kindalem  |  All changes must be versioned and re-approved.</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2F0EB" w:sz="4" w:space="4"/>
      </w:pBdr>
      <w:tabs>
        <w:tab w:val="right" w:pos="9026"/>
      </w:tabs>
    </w:pPr>
    <w:r>
      <w:rPr>
        <w:rFonts w:ascii="Arial" w:cs="Arial" w:eastAsia="Arial" w:hAnsi="Arial"/>
        <w:color w:val="6B6B68"/>
        <w:sz w:val="18"/>
        <w:szCs w:val="18"/>
      </w:rPr>
      <w:t xml:space="preserve">Confidential — Nu Ethiopia Project  |  Amanuel Kindalem</w:t>
    </w:r>
    <w:r>
      <w:rPr>
        <w:rFonts w:ascii="Arial" w:cs="Arial" w:eastAsia="Arial" w:hAnsi="Arial"/>
        <w:color w:val="6B6B68"/>
        <w:sz w:val="18"/>
        <w:szCs w:val="18"/>
      </w:rPr>
      <w:t xml:space="preserve">	Page </w:t>
    </w:r>
    <w:r>
      <w:rPr>
        <w:rFonts w:ascii="Arial" w:cs="Arial" w:eastAsia="Arial" w:hAnsi="Arial"/>
        <w:color w:val="6B6B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4" w:space="4"/>
      </w:pBdr>
    </w:pPr>
    <w:r>
      <w:rPr>
        <w:rFonts w:ascii="Arial" w:cs="Arial" w:eastAsia="Arial" w:hAnsi="Arial"/>
        <w:color w:val="6B6B68"/>
        <w:sz w:val="18"/>
        <w:szCs w:val="18"/>
      </w:rPr>
      <w:t xml:space="preserve">Nu Ethiopia  |  Section 4 — Non-Functional Requirements  |  NE-NFR-001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20"/>
      <w:outlineLvl w:val="0"/>
    </w:pPr>
    <w:rPr>
      <w:rFonts w:ascii="Arial" w:cs="Arial" w:eastAsia="Arial" w:hAnsi="Arial"/>
      <w:b/>
      <w:bCs/>
      <w:color w:val="0F6E56"/>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2E2E2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534AB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2026-05-19T05:15:16.285Z</dcterms:created>
  <dcterms:modified xsi:type="dcterms:W3CDTF">2026-05-19T05:15:16.287Z</dcterms:modified>
</cp:coreProperties>
</file>

<file path=docProps/custom.xml><?xml version="1.0" encoding="utf-8"?>
<Properties xmlns="http://schemas.openxmlformats.org/officeDocument/2006/custom-properties" xmlns:vt="http://schemas.openxmlformats.org/officeDocument/2006/docPropsVTypes"/>
</file>