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Which Truth Does the Slide See? Auditing what H&amp;E foundation-model classifiers learn when IHC, RNA and protein disagree</w:t>
      </w:r>
    </w:p>
    <w:p>
      <w:pPr>
        <w:pStyle w:val="Author"/>
      </w:pPr>
      <w:r>
        <w:t xml:space="preserve">Aman Uniyal, Aman Srivastava — Topics in AI for Healthcare, IIIT Hyderabad</w:t>
      </w:r>
    </w:p>
    <w:p>
      <w:pPr>
        <w:pStyle w:val="Date"/>
      </w:pPr>
      <w:r>
        <w:t xml:space="preserve">October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Hormone-receptor and HER2 status guide breast-cancer therapy and are measured clinically by immunohistochemistry (IHC),</w:t>
      </w:r>
      <w:r>
        <w:t xml:space="preserve"> </w:t>
      </w:r>
      <w:r>
        <w:t xml:space="preserve">but IHC disagrees with RNA expression and with DNA amplification in a minority of tumours. Deep-learning models that</w:t>
      </w:r>
      <w:r>
        <w:t xml:space="preserve"> </w:t>
      </w:r>
      <w:r>
        <w:t xml:space="preserve">predict these markers from H&amp;E slides are trained on whichever label is available, and it is unclear which biological</w:t>
      </w:r>
      <w:r>
        <w:t xml:space="preserve"> </w:t>
      </w:r>
      <w:r>
        <w:t xml:space="preserve">“truth”</w:t>
      </w:r>
      <w:r>
        <w:t xml:space="preserve"> </w:t>
      </w:r>
      <w:r>
        <w:t xml:space="preserve">they actually learn. Using 1,055 TCGA-BRCA patients, five frozen-encoder models (TITAN, UNI v1 and CONCH v1 with</w:t>
      </w:r>
      <w:r>
        <w:t xml:space="preserve"> </w:t>
      </w:r>
      <w:r>
        <w:t xml:space="preserve">linear or attention-MIL heads) and fixed site-grouped cross-validation, we compared, on the same patients and folds,</w:t>
      </w:r>
      <w:r>
        <w:t xml:space="preserve"> </w:t>
      </w:r>
      <w:r>
        <w:t xml:space="preserve">how predictable each reference standard is from H&amp;E (1a), which side a model trained on concordant cases takes on</w:t>
      </w:r>
      <w:r>
        <w:t xml:space="preserve"> </w:t>
      </w:r>
      <w:r>
        <w:t xml:space="preserve">discordant cases (1b), whether HER2-low is visible at all (1d), whether the answer changes between the FFPE diagnostic</w:t>
      </w:r>
      <w:r>
        <w:t xml:space="preserve"> </w:t>
      </w:r>
      <w:r>
        <w:t xml:space="preserve">slide and the frozen slide cut next to the sequenced tissue (1c, 1,515 frozen slides extracted for this study), and how</w:t>
      </w:r>
      <w:r>
        <w:t xml:space="preserve"> </w:t>
      </w:r>
      <w:r>
        <w:t xml:space="preserve">reproducible predictions are across two frozen sections of one tumour (1e). The RNA-defined ER label was more</w:t>
      </w:r>
      <w:r>
        <w:t xml:space="preserve"> </w:t>
      </w:r>
      <w:r>
        <w:t xml:space="preserve">predictable than the IHC label in all five models (ΔAUC +0.02 to +0.06; DeLong CI excluding zero in 4 of 5; primary model</w:t>
      </w:r>
      <w:r>
        <w:t xml:space="preserve"> </w:t>
      </w:r>
      <w:r>
        <w:t xml:space="preserve">Holm-adjusted p = 0.042), and the advantage was identical on FFPE and frozen slides (interaction 0.000, 95% CI −0.024 to</w:t>
      </w:r>
      <w:r>
        <w:t xml:space="preserve"> </w:t>
      </w:r>
      <w:r>
        <w:t xml:space="preserve">+0.024). On ER-discordant patients the models leaned towards RNA (consensus 34 : 20, p = 0.076; 39 : 13 on frozen slides),</w:t>
      </w:r>
      <w:r>
        <w:t xml:space="preserve"> </w:t>
      </w:r>
      <w:r>
        <w:t xml:space="preserve">and their calls followed the PAM50 intrinsic subtype. HER2 predictions tracked amplification rather than the clinical</w:t>
      </w:r>
      <w:r>
        <w:t xml:space="preserve"> </w:t>
      </w:r>
      <w:r>
        <w:t xml:space="preserve">label; PR showed no reliable preference; HER2-low was not detectable from H&amp;E. Two frozen sections of one tumour agreed</w:t>
      </w:r>
      <w:r>
        <w:t xml:space="preserve"> </w:t>
      </w:r>
      <w:r>
        <w:t xml:space="preserve">well (ICC ≈ 0.88) but about one ER call in ten flipped. H&amp;E models therefore learn morphology that aligns with the</w:t>
      </w:r>
      <w:r>
        <w:t xml:space="preserve"> </w:t>
      </w:r>
      <w:r>
        <w:t xml:space="preserve">transcriptional state of a tumour rather than with its IHC readout, which matters for how such models are trained,</w:t>
      </w:r>
      <w:r>
        <w:t xml:space="preserve"> </w:t>
      </w:r>
      <w:r>
        <w:t xml:space="preserve">validated and interpreted.</w:t>
      </w:r>
    </w:p>
    <w:bookmarkEnd w:id="9"/>
    <w:bookmarkStart w:id="10" w:name="clinical-problem"/>
    <w:p>
      <w:pPr>
        <w:pStyle w:val="Heading1"/>
      </w:pPr>
      <w:r>
        <w:t xml:space="preserve">1. Clinical problem</w:t>
      </w:r>
    </w:p>
    <w:p>
      <w:pPr>
        <w:pStyle w:val="FirstParagraph"/>
      </w:pPr>
      <w:r>
        <w:t xml:space="preserve">ER, PR and HER2 status decide endocrine and anti-HER2 therapy. They are measured by IHC (and ISH for equivocal HER2),</w:t>
      </w:r>
      <w:r>
        <w:t xml:space="preserve"> </w:t>
      </w:r>
      <w:r>
        <w:t xml:space="preserve">which is semi-quantitative, depends on pre-analytics and reader thresholds, and disagrees with RNA or DNA measurements in</w:t>
      </w:r>
      <w:r>
        <w:t xml:space="preserve"> </w:t>
      </w:r>
      <w:r>
        <w:t xml:space="preserve">5-17% of TCGA-BRCA tumours (ER 5.5%, PR 16.7%, HER2 10.8%). Many recent studies predict these markers from H&amp;E with</w:t>
      </w:r>
      <w:r>
        <w:t xml:space="preserve"> </w:t>
      </w:r>
      <w:r>
        <w:t xml:space="preserve">pathology foundation models and report AUCs against IHC. When the</w:t>
      </w:r>
      <w:r>
        <w:t xml:space="preserve"> </w:t>
      </w:r>
      <w:r>
        <w:t xml:space="preserve">“ground truth”</w:t>
      </w:r>
      <w:r>
        <w:t xml:space="preserve"> </w:t>
      </w:r>
      <w:r>
        <w:t xml:space="preserve">itself is uncertain, a higher AUC</w:t>
      </w:r>
      <w:r>
        <w:t xml:space="preserve"> </w:t>
      </w:r>
      <w:r>
        <w:t xml:space="preserve">against IHC does not tell us what the model has learned, and a model that is</w:t>
      </w:r>
      <w:r>
        <w:t xml:space="preserve"> </w:t>
      </w:r>
      <w:r>
        <w:t xml:space="preserve">“wrong”</w:t>
      </w:r>
      <w:r>
        <w:t xml:space="preserve"> </w:t>
      </w:r>
      <w:r>
        <w:t xml:space="preserve">against IHC may be right against</w:t>
      </w:r>
      <w:r>
        <w:t xml:space="preserve"> </w:t>
      </w:r>
      <w:r>
        <w:t xml:space="preserve">RNA. Low-expression categories (ER-low, HER2-low) are exactly where this matters clinically.</w:t>
      </w:r>
    </w:p>
    <w:bookmarkEnd w:id="10"/>
    <w:bookmarkStart w:id="11" w:name="question-and-novelty"/>
    <w:p>
      <w:pPr>
        <w:pStyle w:val="Heading1"/>
      </w:pPr>
      <w:r>
        <w:t xml:space="preserve">2. Question and novelty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When IHC, RNA and protein measurements of ER/PR/HER2 disagree, which one does an H&amp;E foundation-model</w:t>
      </w:r>
      <w:r>
        <w:t xml:space="preserve"> </w:t>
      </w:r>
      <w:r>
        <w:t xml:space="preserve">classifier follow, and does the answer change between the FFPE diagnostic slide and the frozen slide cut from the</w:t>
      </w:r>
      <w:r>
        <w:t xml:space="preserve"> </w:t>
      </w:r>
      <w:r>
        <w:t xml:space="preserve">sequenced tissue?</w:t>
      </w:r>
    </w:p>
    <w:p>
      <w:pPr>
        <w:pStyle w:val="BodyText"/>
      </w:pPr>
      <w:r>
        <w:rPr>
          <w:b/>
          <w:bCs/>
        </w:rPr>
        <w:t xml:space="preserve">Novelty.</w:t>
      </w:r>
      <w:r>
        <w:t xml:space="preserve"> </w:t>
      </w:r>
      <w:r>
        <w:t xml:space="preserve">Prior work benchmarks many foundation models for ER/PR/HER2 against a single (IHC) label, including</w:t>
      </w:r>
      <w:r>
        <w:t xml:space="preserve"> </w:t>
      </w:r>
      <w:r>
        <w:t xml:space="preserve">TCGA → CPTAC transfer (Neidlinger et al., 2025; Fernandez-Romero et al., 2026). We do not propose a new architecture. The</w:t>
      </w:r>
      <w:r>
        <w:t xml:space="preserve"> </w:t>
      </w:r>
      <w:r>
        <w:t xml:space="preserve">contribution is a stricter evaluation: the same patients, slides and folds evaluated against different reference</w:t>
      </w:r>
      <w:r>
        <w:t xml:space="preserve"> </w:t>
      </w:r>
      <w:r>
        <w:t xml:space="preserve">standards, with site-grouped validation, a discordant-case test, and the first comparison of FFPE vs frozen slides from</w:t>
      </w:r>
      <w:r>
        <w:t xml:space="preserve"> </w:t>
      </w:r>
      <w:r>
        <w:t xml:space="preserve">the same tumours for this question.</w:t>
      </w:r>
    </w:p>
    <w:bookmarkEnd w:id="11"/>
    <w:bookmarkStart w:id="12" w:name="data"/>
    <w:p>
      <w:pPr>
        <w:pStyle w:val="Heading1"/>
      </w:pPr>
      <w:r>
        <w:t xml:space="preserve">3.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TCGA-BRCA, 1,097 patients from 40 tissue-source sites; 1,055 with DX-slide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IHC labels</w:t>
            </w:r>
          </w:p>
        </w:tc>
        <w:tc>
          <w:tcPr/>
          <w:p>
            <w:pPr>
              <w:pStyle w:val="Compact"/>
            </w:pPr>
            <w:r>
              <w:t xml:space="preserve">ER, PR (clinical biotab); HER2</w:t>
            </w:r>
            <w:r>
              <w:t xml:space="preserve"> </w:t>
            </w:r>
            <w:r>
              <w:t xml:space="preserve">“strict”</w:t>
            </w:r>
            <w:r>
              <w:t xml:space="preserve"> </w:t>
            </w:r>
            <w:r>
              <w:t xml:space="preserve">= IHC 3+ or FISH+ vs IHC 0/1+ or 2+ FISH− (the TCGA HER2 field includes IHC 1+/2+ cases called positive)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RNA labels</w:t>
            </w:r>
          </w:p>
        </w:tc>
        <w:tc>
          <w:tcPr/>
          <w:p>
            <w:pPr>
              <w:pStyle w:val="Compact"/>
            </w:pPr>
            <w:r>
              <w:t xml:space="preserve">ESR1, PGR, ERBB2 log2 RSEM; positive = high component of a 2-component Gaussian mixture (cut-offs 10.17 / 8.58 / 15.14); robustness: prevalence-matched and confident-only cut-offs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 / protein</w:t>
            </w:r>
          </w:p>
        </w:tc>
        <w:tc>
          <w:tcPr/>
          <w:p>
            <w:pPr>
              <w:pStyle w:val="Compact"/>
            </w:pPr>
            <w:r>
              <w:t xml:space="preserve">ERBB2 amplification (GISTIC 2); RPPA ER-α and HER2 (GMM)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Discordance</w:t>
            </w:r>
          </w:p>
        </w:tc>
        <w:tc>
          <w:tcPr/>
          <w:p>
            <w:pPr>
              <w:pStyle w:val="Compact"/>
            </w:pPr>
            <w:r>
              <w:t xml:space="preserve">ER IHC vs RNA 57 / 1,031; PR 172 / 1,028; HER2 strict vs amplification 64 / 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FFPE slides (DX)</w:t>
            </w:r>
          </w:p>
        </w:tc>
        <w:tc>
          <w:tcPr/>
          <w:p>
            <w:pPr>
              <w:pStyle w:val="Compact"/>
            </w:pPr>
            <w:r>
              <w:t xml:space="preserve">1,131 slides; UNI v1 / CONCH v1 / TITAN features from the public TRACE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slides</w:t>
            </w:r>
          </w:p>
        </w:tc>
        <w:tc>
          <w:tcPr/>
          <w:p>
            <w:pPr>
              <w:pStyle w:val="Compact"/>
            </w:pPr>
            <w:r>
              <w:t xml:space="preserve">1,044 top (TS) + 471 bottom (BS) sections of the sequenced tissue portion; 373 TS+BS pairs; 1,515 unique slides extracted by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Ancillary</w:t>
            </w:r>
          </w:p>
        </w:tc>
        <w:tc>
          <w:tcPr/>
          <w:p>
            <w:pPr>
              <w:pStyle w:val="Compact"/>
            </w:pPr>
            <w:r>
              <w:t xml:space="preserve">PAM50 subtype; % tumour cells per frozen slide (biospecimen table)</w:t>
            </w:r>
          </w:p>
        </w:tc>
      </w:tr>
    </w:tbl>
    <w:bookmarkEnd w:id="12"/>
    <w:bookmarkStart w:id="13" w:name="methods"/>
    <w:p>
      <w:pPr>
        <w:pStyle w:val="Heading1"/>
      </w:pPr>
      <w:r>
        <w:t xml:space="preserve">4. Methods</w:t>
      </w:r>
    </w:p>
    <w:p>
      <w:pPr>
        <w:pStyle w:val="FirstParagraph"/>
      </w:pPr>
      <w:r>
        <w:rPr>
          <w:b/>
          <w:bCs/>
        </w:rPr>
        <w:t xml:space="preserve">Features.</w:t>
      </w:r>
      <w:r>
        <w:t xml:space="preserve"> </w:t>
      </w:r>
      <w:r>
        <w:t xml:space="preserve">Frozen pretrained encoders only: UNI v1 (ViT-L, 1,024-d patch features, main encoder), CONCH v1 (512-d,</w:t>
      </w:r>
      <w:r>
        <w:t xml:space="preserve"> </w:t>
      </w:r>
      <w:r>
        <w:t xml:space="preserve">replication), TITAN (768-d slide embedding, fast baseline). DX features came from TRACE. Frozen slides were downloaded</w:t>
      </w:r>
      <w:r>
        <w:t xml:space="preserve"> </w:t>
      </w:r>
      <w:r>
        <w:t xml:space="preserve">from the NCI Imaging Data Commons copy of TCGA (DICOM-WSI on Google Cloud; GDC was too slow from our cluster) and encoded</w:t>
      </w:r>
      <w:r>
        <w:t xml:space="preserve"> </w:t>
      </w:r>
      <w:r>
        <w:t xml:space="preserve">with TRIDENT (tissue segmentation, 256 px patches at 20×) + UNI v1. An extraction-equivalence check re-encoded 46 DX</w:t>
      </w:r>
      <w:r>
        <w:t xml:space="preserve"> </w:t>
      </w:r>
      <w:r>
        <w:t xml:space="preserve">slides with this pipeline: slide-mean features matched TRACE exactly (cosine 1.0000 vs 0.33 for different patients;</w:t>
      </w:r>
      <w:r>
        <w:t xml:space="preserve"> </w:t>
      </w:r>
      <w:r>
        <w:t xml:space="preserve">maximum per-feature difference ≤ 0.002; identical ER calls on 46/46), so DX and frozen features differ only in the tissue.</w:t>
      </w:r>
    </w:p>
    <w:p>
      <w:pPr>
        <w:pStyle w:val="BodyText"/>
      </w:pPr>
      <w:r>
        <w:rPr>
          <w:b/>
          <w:bCs/>
        </w:rPr>
        <w:t xml:space="preserve">Heads.</w:t>
      </w:r>
      <w:r>
        <w:t xml:space="preserve"> </w:t>
      </w:r>
      <w:r>
        <w:t xml:space="preserve">Logistic regression on the mean of all patch features (or the TITAN embedding), C = 0.01, class-balanced; and</w:t>
      </w:r>
      <w:r>
        <w:t xml:space="preserve"> </w:t>
      </w:r>
      <w:r>
        <w:t xml:space="preserve">gated attention-MIL (ABMIL; Ilse et al., 2018), 15 epochs, 2,048 patches per training step, up to 4,096 per patient.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Patient-level 5-fold cross-validation</w:t>
      </w:r>
      <w:r>
        <w:t xml:space="preserve"> </w:t>
      </w:r>
      <w:r>
        <w:rPr>
          <w:b/>
          <w:bCs/>
        </w:rPr>
        <w:t xml:space="preserve">grouped by tissue-source site</w:t>
      </w:r>
      <w:r>
        <w:t xml:space="preserve">, from one fixed split file used by</w:t>
      </w:r>
      <w:r>
        <w:t xml:space="preserve"> </w:t>
      </w:r>
      <w:r>
        <w:t xml:space="preserve">every experiment (5 seeds for linear models, 3 for ABMIL). Site grouping matters: embeddings identify the hospital 82% of</w:t>
      </w:r>
      <w:r>
        <w:t xml:space="preserve"> </w:t>
      </w:r>
      <w:r>
        <w:t xml:space="preserve">the time, and a HER2-low signal that appears with random folds (AUC 0.63) vanishes with site-grouped folds.</w:t>
      </w:r>
    </w:p>
    <w:p>
      <w:pPr>
        <w:pStyle w:val="BodyText"/>
      </w:pPr>
      <w:r>
        <w:rPr>
          <w:b/>
          <w:bCs/>
        </w:rPr>
        <w:t xml:space="preserve">Experiments.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1a</w:t>
      </w:r>
      <w:r>
        <w:t xml:space="preserve"> </w:t>
      </w:r>
      <w:r>
        <w:t xml:space="preserve">For each marker, one model per reference label on the same patients and folds; ΔAUC (molecular − IHC) with a</w:t>
      </w:r>
      <w:r>
        <w:t xml:space="preserve"> </w:t>
      </w:r>
      <w:r>
        <w:t xml:space="preserve">DeLong test generalised to two reference labels on the same patients (per-patient influence terms; it reduces exactly</w:t>
      </w:r>
      <w:r>
        <w:t xml:space="preserve"> </w:t>
      </w:r>
      <w:r>
        <w:t xml:space="preserve">to DeLong, 1988, when the labels coincide) and a paired bootstrap.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1b</w:t>
      </w:r>
      <w:r>
        <w:t xml:space="preserve"> </w:t>
      </w:r>
      <w:r>
        <w:t xml:space="preserve">Train on concordant patients, score discordant ones, count which label the call agrees with (binomial test);</w:t>
      </w:r>
      <w:r>
        <w:t xml:space="preserve"> </w:t>
      </w:r>
      <w:r>
        <w:t xml:space="preserve">combine the five models at patient level (one consensus call per patient) because they score the same patients.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1c</w:t>
      </w:r>
      <w:r>
        <w:t xml:space="preserve"> </w:t>
      </w:r>
      <w:r>
        <w:t xml:space="preserve">On patients with both slide types: the 2 × 2 design DX/TS × IHC/molecular label; interaction</w:t>
      </w:r>
      <w:r>
        <w:t xml:space="preserve"> </w:t>
      </w:r>
      <w:r>
        <w:t xml:space="preserve">(TS Δ − DX Δ) with a paired bootstrap; split by % tumour cells.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1d</w:t>
      </w:r>
      <w:r>
        <w:t xml:space="preserve"> </w:t>
      </w:r>
      <w:r>
        <w:t xml:space="preserve">HER2 0 vs 1+ and 0 vs low from H&amp;E, compared with ERBB2 mRNA alone on the same patients.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1e</w:t>
      </w:r>
      <w:r>
        <w:t xml:space="preserve"> </w:t>
      </w:r>
      <w:r>
        <w:t xml:space="preserve">ER model trained on TS slides of out-of-fold patients, applied to both TS and BS of each pair: ICC(2,1),</w:t>
      </w:r>
      <w:r>
        <w:t xml:space="preserve"> </w:t>
      </w:r>
      <w:r>
        <w:t xml:space="preserve">Cohen’s κ, % flipped calls.</w:t>
      </w:r>
    </w:p>
    <w:p>
      <w:pPr>
        <w:pStyle w:val="BodyText"/>
      </w:pPr>
      <w:r>
        <w:rPr>
          <w:b/>
          <w:bCs/>
        </w:rPr>
        <w:t xml:space="preserve">Statistics and claims.</w:t>
      </w:r>
      <w:r>
        <w:t xml:space="preserve"> </w:t>
      </w:r>
      <w:r>
        <w:t xml:space="preserve">Three primary claims (ER 1a, 1b, 1c) on a pre-specified primary model (UNI mean-pool) with</w:t>
      </w:r>
      <w:r>
        <w:t xml:space="preserve"> </w:t>
      </w:r>
      <w:r>
        <w:t xml:space="preserve">Holm correction; all other results are secondary, reported for every model, and called robust only if consistent in</w:t>
      </w:r>
      <w:r>
        <w:t xml:space="preserve"> </w:t>
      </w:r>
      <w:r>
        <w:t xml:space="preserve">direction across at least two encoders and across RNA cut-offs. Sanity checks S1-S15 (prediction integrity, pairing,</w:t>
      </w:r>
      <w:r>
        <w:t xml:space="preserve"> </w:t>
      </w:r>
      <w:r>
        <w:t xml:space="preserve">label identity, recomputed statistics, negative controls, cohort sizes, extraction equivalence) all pass except one</w:t>
      </w:r>
      <w:r>
        <w:t xml:space="preserve"> </w:t>
      </w:r>
      <w:r>
        <w:t xml:space="preserve">explained environment difference (Section 6).</w:t>
      </w:r>
    </w:p>
    <w:bookmarkEnd w:id="13"/>
    <w:bookmarkStart w:id="26" w:name="results"/>
    <w:p>
      <w:pPr>
        <w:pStyle w:val="Heading1"/>
      </w:pPr>
      <w:r>
        <w:t xml:space="preserve">5. Results</w:t>
      </w:r>
    </w:p>
    <w:p>
      <w:pPr>
        <w:pStyle w:val="FirstParagraph"/>
      </w:pPr>
      <w:r>
        <w:t xml:space="preserve">All numbers below come from the fixed splits and one software environment (full tables:</w:t>
      </w:r>
      <w:r>
        <w:t xml:space="preserve"> </w:t>
      </w:r>
      <w:r>
        <w:rPr>
          <w:rStyle w:val="VerbatimChar"/>
        </w:rPr>
        <w:t xml:space="preserve">docs/FINAL_RESULTS.md</w:t>
      </w:r>
      <w:r>
        <w:t xml:space="preserve">).</w:t>
      </w:r>
    </w:p>
    <w:bookmarkStart w:id="14" w:name="X007c2394ef8e2f5403b81563bad5844853b46e6"/>
    <w:p>
      <w:pPr>
        <w:pStyle w:val="Heading2"/>
      </w:pPr>
      <w:r>
        <w:t xml:space="preserve">5.1 1a: which label is more predictable from H&amp;E?</w:t>
      </w:r>
    </w:p>
    <w:p>
      <w:pPr>
        <w:pStyle w:val="FirstParagraph"/>
      </w:pPr>
      <w:r>
        <w:t xml:space="preserve">ΔAUC (molecular − IHC label), same patients, DeLong 95% CI;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= CI excludes 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TITAN</w:t>
            </w:r>
          </w:p>
        </w:tc>
        <w:tc>
          <w:tcPr/>
          <w:p>
            <w:pPr>
              <w:pStyle w:val="Compact"/>
            </w:pPr>
            <w:r>
              <w:t xml:space="preserve">UNI mean</w:t>
            </w:r>
          </w:p>
        </w:tc>
        <w:tc>
          <w:tcPr/>
          <w:p>
            <w:pPr>
              <w:pStyle w:val="Compact"/>
            </w:pPr>
            <w:r>
              <w:t xml:space="preserve">CONCH mean</w:t>
            </w:r>
          </w:p>
        </w:tc>
        <w:tc>
          <w:tcPr/>
          <w:p>
            <w:pPr>
              <w:pStyle w:val="Compact"/>
            </w:pPr>
            <w:r>
              <w:t xml:space="preserve">UNI ABMIL</w:t>
            </w:r>
          </w:p>
        </w:tc>
        <w:tc>
          <w:tcPr/>
          <w:p>
            <w:pPr>
              <w:pStyle w:val="Compact"/>
            </w:pPr>
            <w:r>
              <w:t xml:space="preserve">CONCH ABMIL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ER: RNA − IHC</w:t>
            </w:r>
          </w:p>
        </w:tc>
        <w:tc>
          <w:tcPr/>
          <w:p>
            <w:pPr>
              <w:pStyle w:val="Compact"/>
            </w:pPr>
            <w:r>
              <w:t xml:space="preserve">801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+0.030</w:t>
            </w:r>
          </w:p>
        </w:tc>
        <w:tc>
          <w:tcPr/>
          <w:p>
            <w:pPr>
              <w:pStyle w:val="Compact"/>
            </w:pPr>
            <w:r>
              <w:t xml:space="preserve">+0.018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ER: RPPA − IHC</w:t>
            </w:r>
          </w:p>
        </w:tc>
        <w:tc>
          <w:tcPr/>
          <w:p>
            <w:pPr>
              <w:pStyle w:val="Compact"/>
            </w:pPr>
            <w:r>
              <w:t xml:space="preserve">801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+0.033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PR: RNA − IHC (prevalence-matched)</w:t>
            </w:r>
          </w:p>
        </w:tc>
        <w:tc>
          <w:tcPr/>
          <w:p>
            <w:pPr>
              <w:pStyle w:val="Compact"/>
            </w:pPr>
            <w:r>
              <w:t xml:space="preserve">986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+0.007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HER2: amplification − strict</w:t>
            </w:r>
          </w:p>
        </w:tc>
        <w:tc>
          <w:tcPr/>
          <w:p>
            <w:pPr>
              <w:pStyle w:val="Compact"/>
            </w:pPr>
            <w:r>
              <w:t xml:space="preserve">478</w:t>
            </w:r>
          </w:p>
        </w:tc>
        <w:tc>
          <w:tcPr/>
          <w:p>
            <w:pPr>
              <w:pStyle w:val="Compact"/>
            </w:pPr>
            <w:r>
              <w:t xml:space="preserve">+0.044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+0.074</w:t>
            </w:r>
          </w:p>
        </w:tc>
        <w:tc>
          <w:tcPr/>
          <w:p>
            <w:pPr>
              <w:pStyle w:val="Compact"/>
            </w:pPr>
            <w:r>
              <w:t xml:space="preserve">+0.032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+0.080</w:t>
            </w:r>
          </w:p>
        </w:tc>
      </w:tr>
    </w:tbl>
    <w:p>
      <w:pPr>
        <w:pStyle w:val="BodyText"/>
      </w:pPr>
      <w:r>
        <w:t xml:space="preserve">The RNA-defined ER label is more predictable than the IHC label in every model (CI excludes zero in 4 of 5; the result</w:t>
      </w:r>
      <w:r>
        <w:t xml:space="preserve"> </w:t>
      </w:r>
      <w:r>
        <w:t xml:space="preserve">also holds with prevalence-matched and confident-only RNA cut-offs). HER2 amplification is more predictable than the</w:t>
      </w:r>
      <w:r>
        <w:t xml:space="preserve"> </w:t>
      </w:r>
      <w:r>
        <w:t xml:space="preserve">strict clinical label in all five (significant in three). For PR, an apparent IHC advantage under the GMM cut-off</w:t>
      </w:r>
      <w:r>
        <w:t xml:space="preserve"> </w:t>
      </w:r>
      <w:r>
        <w:t xml:space="preserve">disappears with a prevalence-matched cut-off: no reliable preference.</w:t>
      </w:r>
    </w:p>
    <w:bookmarkEnd w:id="14"/>
    <w:bookmarkStart w:id="15" w:name="b-which-side-on-discordant-patients"/>
    <w:p>
      <w:pPr>
        <w:pStyle w:val="Heading2"/>
      </w:pPr>
      <w:r>
        <w:t xml:space="preserve">5.2 1b: which side on discordant patients?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Discordant pair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Per model (TITAN / UNI m / CONCH m / UNI A / CONCH A)</w:t>
            </w:r>
          </w:p>
        </w:tc>
        <w:tc>
          <w:tcPr/>
          <w:p>
            <w:pPr>
              <w:pStyle w:val="Compact"/>
            </w:pPr>
            <w:r>
              <w:t xml:space="preserve">Consensus molecular : IHC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ER: IHC vs RNA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39 / 34 / 35 / 34 / 36</w:t>
            </w:r>
          </w:p>
        </w:tc>
        <w:tc>
          <w:tcPr/>
          <w:p>
            <w:pPr>
              <w:pStyle w:val="Compact"/>
            </w:pPr>
            <w:r>
              <w:t xml:space="preserve">34 : 20 (p = 0.076); 66% of calls side with RNA (54-76%)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ER: IHC vs RPPA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33 / 35 / 32 / 34 / 30</w:t>
            </w:r>
          </w:p>
        </w:tc>
        <w:tc>
          <w:tcPr/>
          <w:p>
            <w:pPr>
              <w:pStyle w:val="Compact"/>
            </w:pPr>
            <w:r>
              <w:t xml:space="preserve">33 : 30 (p = 0.80)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PR: IHC vs RNA (prevalence-matched)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69 / – / – / 64 / 63</w:t>
            </w:r>
          </w:p>
        </w:tc>
        <w:tc>
          <w:tcPr/>
          <w:p>
            <w:pPr>
              <w:pStyle w:val="Compact"/>
            </w:pPr>
            <w:r>
              <w:t xml:space="preserve">67 : 66 (p = 1.00)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HER2: strict vs amplification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35 / 44 / 39 / 47 / 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 : 18 (p = 0.003)</w:t>
            </w:r>
          </w:p>
        </w:tc>
      </w:tr>
    </w:tbl>
    <w:p>
      <w:pPr>
        <w:pStyle w:val="BodyText"/>
      </w:pPr>
      <w:r>
        <w:t xml:space="preserve">Every model leans towards RNA for ER, but the honest pooled estimate is suggestive rather than significant on FFPE</w:t>
      </w:r>
      <w:r>
        <w:t xml:space="preserve"> </w:t>
      </w:r>
      <w:r>
        <w:t xml:space="preserve">slides; on frozen slides the same patients give 39 : 13 (p = 0.0004). HER2 calls side with amplification.</w:t>
      </w:r>
    </w:p>
    <w:p>
      <w:pPr>
        <w:pStyle w:val="BodyText"/>
      </w:pPr>
      <w:r>
        <w:rPr>
          <w:b/>
          <w:bCs/>
        </w:rPr>
        <w:t xml:space="preserve">Who are the discordant patients?</w:t>
      </w:r>
      <w:r>
        <w:t xml:space="preserve"> </w:t>
      </w:r>
      <w:r>
        <w:t xml:space="preserve">The call follows the intrinsic subtype: all 15 Basal-like IHC+/RNA− tumours are</w:t>
      </w:r>
      <w:r>
        <w:t xml:space="preserve"> </w:t>
      </w:r>
      <w:r>
        <w:t xml:space="preserve">called ER−, and all 9 Luminal-A IHC−/RNA+ tumours ER+. The exception is HER2-enriched IHC+/RNA− tumours, 8 of 11 called</w:t>
      </w:r>
      <w:r>
        <w:t xml:space="preserve"> </w:t>
      </w:r>
      <w:r>
        <w:t xml:space="preserve">ER+. Among the 10 ER-low tumours (IHC+, &lt; 10% stained) that are RNA-negative, the model calls 8 ER− on FFPE and 7 on</w:t>
      </w:r>
      <w:r>
        <w:t xml:space="preserve"> </w:t>
      </w:r>
      <w:r>
        <w:t xml:space="preserve">frozen slides (a lead only, n = 10).</w:t>
      </w:r>
    </w:p>
    <w:bookmarkEnd w:id="15"/>
    <w:bookmarkStart w:id="16" w:name="d-her2-low"/>
    <w:p>
      <w:pPr>
        <w:pStyle w:val="Heading2"/>
      </w:pPr>
      <w:r>
        <w:t xml:space="preserve">5.3 1d: HER2-low</w:t>
      </w:r>
    </w:p>
    <w:p>
      <w:pPr>
        <w:pStyle w:val="FirstParagraph"/>
      </w:pPr>
      <w:r>
        <w:t xml:space="preserve">HER2 0 vs 1+ and 0 vs low are at chance from H&amp;E in every model (AUC 0.42-0.54), whereas ERBB2 mRNA alone reaches 0.65</w:t>
      </w:r>
      <w:r>
        <w:t xml:space="preserve"> </w:t>
      </w:r>
      <w:r>
        <w:t xml:space="preserve">and 0.69 on the same patients. HER2-low is not a morphological phenotype these models can see.</w:t>
      </w:r>
    </w:p>
    <w:bookmarkEnd w:id="16"/>
    <w:bookmarkStart w:id="17" w:name="c-ffpe-vs-frozen-slide"/>
    <w:p>
      <w:pPr>
        <w:pStyle w:val="Heading2"/>
      </w:pPr>
      <w:r>
        <w:t xml:space="preserve">5.4 1c: FFPE vs frozen slide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pair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DX Δ (95% CI)</w:t>
            </w:r>
          </w:p>
        </w:tc>
        <w:tc>
          <w:tcPr/>
          <w:p>
            <w:pPr>
              <w:pStyle w:val="Compact"/>
            </w:pPr>
            <w:r>
              <w:t xml:space="preserve">TS Δ (95% CI)</w:t>
            </w:r>
          </w:p>
        </w:tc>
        <w:tc>
          <w:tcPr/>
          <w:p>
            <w:pPr>
              <w:pStyle w:val="Compact"/>
            </w:pPr>
            <w:r>
              <w:t xml:space="preserve">Interaction (95%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ER: RNA vs IHC</w:t>
            </w:r>
          </w:p>
        </w:tc>
        <w:tc>
          <w:tcPr/>
          <w:p>
            <w:pPr>
              <w:pStyle w:val="Compact"/>
            </w:pPr>
            <w:r>
              <w:t xml:space="preserve">947</w:t>
            </w:r>
          </w:p>
        </w:tc>
        <w:tc>
          <w:tcPr/>
          <w:p>
            <w:pPr>
              <w:pStyle w:val="Compact"/>
            </w:pPr>
            <w:r>
              <w:t xml:space="preserve">+0.032 (+0.007, +0.058)</w:t>
            </w:r>
          </w:p>
        </w:tc>
        <w:tc>
          <w:tcPr/>
          <w:p>
            <w:pPr>
              <w:pStyle w:val="Compact"/>
            </w:pPr>
            <w:r>
              <w:t xml:space="preserve">+0.032 (+0.011, +0.055)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 (−0.024, +0.024)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ER: RPPA vs IHC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  <w:tc>
          <w:tcPr/>
          <w:p>
            <w:pPr>
              <w:pStyle w:val="Compact"/>
            </w:pPr>
            <w:r>
              <w:t xml:space="preserve">+0.041</w:t>
            </w:r>
          </w:p>
        </w:tc>
        <w:tc>
          <w:tcPr/>
          <w:p>
            <w:pPr>
              <w:pStyle w:val="Compact"/>
            </w:pPr>
            <w:r>
              <w:t xml:space="preserve">+0.007</w:t>
            </w:r>
          </w:p>
        </w:tc>
        <w:tc>
          <w:tcPr/>
          <w:p>
            <w:pPr>
              <w:pStyle w:val="Compact"/>
            </w:pPr>
            <w:r>
              <w:t xml:space="preserve">−0.035 (−0.066, −0.001), p = 0.045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PR: RNA vs IHC (prev.-matched)</w:t>
            </w:r>
          </w:p>
        </w:tc>
        <w:tc>
          <w:tcPr/>
          <w:p>
            <w:pPr>
              <w:pStyle w:val="Compact"/>
            </w:pPr>
            <w:r>
              <w:t xml:space="preserve">944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t xml:space="preserve">+0.029, p = 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HER2: amplification vs strict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t xml:space="preserve">+0.045</w:t>
            </w:r>
          </w:p>
        </w:tc>
        <w:tc>
          <w:tcPr/>
          <w:p>
            <w:pPr>
              <w:pStyle w:val="Compact"/>
            </w:pPr>
            <w:r>
              <w:t xml:space="preserve">+0.014</w:t>
            </w:r>
          </w:p>
        </w:tc>
        <w:tc>
          <w:tcPr/>
          <w:p>
            <w:pPr>
              <w:pStyle w:val="Compact"/>
            </w:pPr>
            <w:r>
              <w:t xml:space="preserve">−0.030, p = 0.44</w:t>
            </w:r>
          </w:p>
        </w:tc>
      </w:tr>
    </w:tbl>
    <w:p>
      <w:pPr>
        <w:pStyle w:val="BodyText"/>
      </w:pPr>
      <w:r>
        <w:t xml:space="preserve">The frozen slide cut next to the sequenced tissue prefers the RNA label by exactly as much as the FFPE diagnostic slide,</w:t>
      </w:r>
      <w:r>
        <w:t xml:space="preserve"> </w:t>
      </w:r>
      <w:r>
        <w:t xml:space="preserve">in both halves of tumour content. The RNA preference is therefore not an artefact of the FFPE block being a different</w:t>
      </w:r>
      <w:r>
        <w:t xml:space="preserve"> </w:t>
      </w:r>
      <w:r>
        <w:t xml:space="preserve">piece of tumour from the one that was sequenced. Frozen slides were slightly more predictive overall (ER-IHC AUC 0.899</w:t>
      </w:r>
      <w:r>
        <w:t xml:space="preserve"> </w:t>
      </w:r>
      <w:r>
        <w:t xml:space="preserve">vs 0.881). The borderline ER-RPPA interaction is one of many tests and is not interpreted.</w:t>
      </w:r>
    </w:p>
    <w:bookmarkEnd w:id="17"/>
    <w:bookmarkStart w:id="18" w:name="e-two-frozen-sections-of-one-tumour"/>
    <w:p>
      <w:pPr>
        <w:pStyle w:val="Heading2"/>
      </w:pPr>
      <w:r>
        <w:t xml:space="preserve">5.5 1e: two frozen sections of one tumour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 model trained on</w:t>
            </w:r>
          </w:p>
        </w:tc>
        <w:tc>
          <w:tcPr/>
          <w:p>
            <w:pPr>
              <w:pStyle w:val="Compact"/>
            </w:pPr>
            <w:r>
              <w:t xml:space="preserve">Pairs</w:t>
            </w:r>
          </w:p>
        </w:tc>
        <w:tc>
          <w:tcPr/>
          <w:p>
            <w:pPr>
              <w:pStyle w:val="Compact"/>
            </w:pPr>
            <w:r>
              <w:t xml:space="preserve">ICC(2,1)</w:t>
            </w:r>
          </w:p>
        </w:tc>
        <w:tc>
          <w:tcPr/>
          <w:p>
            <w:pPr>
              <w:pStyle w:val="Compact"/>
            </w:pPr>
            <w:r>
              <w:t xml:space="preserve">Cohen’s κ</w:t>
            </w:r>
          </w:p>
        </w:tc>
        <w:tc>
          <w:tcPr/>
          <w:p>
            <w:pPr>
              <w:pStyle w:val="Compact"/>
            </w:pPr>
            <w:r>
              <w:t xml:space="preserve">Calls flipped</w:t>
            </w:r>
          </w:p>
        </w:tc>
        <w:tc>
          <w:tcPr/>
          <w:p>
            <w:pPr>
              <w:pStyle w:val="Compact"/>
            </w:pPr>
            <w:r>
              <w:t xml:space="preserve">AUC TS / 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IHC label</w:t>
            </w:r>
          </w:p>
        </w:tc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t xml:space="preserve">0.871 (0.841-0.896)</w:t>
            </w:r>
          </w:p>
        </w:tc>
        <w:tc>
          <w:tcPr/>
          <w:p>
            <w:pPr>
              <w:pStyle w:val="Compact"/>
            </w:pPr>
            <w:r>
              <w:t xml:space="preserve">0.725 (0.643-0.803)</w:t>
            </w:r>
          </w:p>
        </w:tc>
        <w:tc>
          <w:tcPr/>
          <w:p>
            <w:pPr>
              <w:pStyle w:val="Compact"/>
            </w:pPr>
            <w:r>
              <w:t xml:space="preserve">10.9%</w:t>
            </w:r>
          </w:p>
        </w:tc>
        <w:tc>
          <w:tcPr/>
          <w:p>
            <w:pPr>
              <w:pStyle w:val="Compact"/>
            </w:pPr>
            <w:r>
              <w:t xml:space="preserve">0.891 / 0.877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RNA label</w:t>
            </w:r>
          </w:p>
        </w:tc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t xml:space="preserve">0.892 (0.868-0.913)</w:t>
            </w:r>
          </w:p>
        </w:tc>
        <w:tc>
          <w:tcPr/>
          <w:p>
            <w:pPr>
              <w:pStyle w:val="Compact"/>
            </w:pPr>
            <w:r>
              <w:t xml:space="preserve">0.806 (0.739-0.872)</w:t>
            </w:r>
          </w:p>
        </w:tc>
        <w:tc>
          <w:tcPr/>
          <w:p>
            <w:pPr>
              <w:pStyle w:val="Compact"/>
            </w:pPr>
            <w:r>
              <w:t xml:space="preserve">7.6%</w:t>
            </w:r>
          </w:p>
        </w:tc>
        <w:tc>
          <w:tcPr/>
          <w:p>
            <w:pPr>
              <w:pStyle w:val="Compact"/>
            </w:pPr>
            <w:r>
              <w:t xml:space="preserve">0.939 / 0.940</w:t>
            </w:r>
          </w:p>
        </w:tc>
      </w:tr>
    </w:tbl>
    <w:p>
      <w:pPr>
        <w:pStyle w:val="BodyText"/>
      </w:pPr>
      <w:r>
        <w:t xml:space="preserve">Sections of one tumour look alike (feature cosine 0.92 vs 0.71 between patients) and predictions agree well, but about</w:t>
      </w:r>
      <w:r>
        <w:t xml:space="preserve"> </w:t>
      </w:r>
      <w:r>
        <w:t xml:space="preserve">one binary ER call in ten changes between two sections a few millimetres apart; the flipped pairs sit at the decision</w:t>
      </w:r>
      <w:r>
        <w:t xml:space="preserve"> </w:t>
      </w:r>
      <w:r>
        <w:t xml:space="preserve">threshold (median |mean P − 0.5| = 0.06, vs 0.42 for pairs that agree). The RNA-trained model is somewhat more reproducible.</w:t>
      </w:r>
    </w:p>
    <w:bookmarkEnd w:id="18"/>
    <w:bookmarkStart w:id="25" w:name="where-the-model-looks"/>
    <w:p>
      <w:pPr>
        <w:pStyle w:val="Heading2"/>
      </w:pPr>
      <w:r>
        <w:t xml:space="preserve">5.6 Where the model looks</w:t>
      </w:r>
    </w:p>
    <w:p>
      <w:pPr>
        <w:pStyle w:val="FirstParagraph"/>
      </w:pPr>
      <w:r>
        <w:t xml:space="preserve">ABMIL attention drawn on the real slides (10 patients) sits on tumour in every slide reviewed; fat, glass and ink get the</w:t>
      </w:r>
      <w:r>
        <w:t xml:space="preserve"> </w:t>
      </w:r>
      <w:r>
        <w:t xml:space="preserve">least. ER-low Basal tumours attract attention to high-grade, pleomorphic cells resembling the ER-negative reference;</w:t>
      </w:r>
      <w:r>
        <w:t xml:space="preserve"> </w:t>
      </w:r>
      <w:r>
        <w:t xml:space="preserve">the HER2-enriched exceptions attract attention to cohesive or apocrine-like cells and are called ER+.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ER-low, RNA−, Basal tumour called ER− (left: H&amp;E; right: attention; bottom: highest/lowest attention patches)" title="" id="20" name="Picture"/>
            <a:graphic>
              <a:graphicData uri="http://schemas.openxmlformats.org/drawingml/2006/picture">
                <pic:pic>
                  <pic:nvPicPr>
                    <pic:cNvPr descr="../results/attention_overlay/TCGA-A2-A4S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ER-low, RNA−, Basal tumour called ER− (left: H&amp;E; right: attention; bottom: highest/lowest attention patches)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IHC+, RNA−, HER2-enriched tumour called ER+" title="" id="23" name="Picture"/>
            <a:graphic>
              <a:graphicData uri="http://schemas.openxmlformats.org/drawingml/2006/picture">
                <pic:pic>
                  <pic:nvPicPr>
                    <pic:cNvPr descr="../results/attention_overlay/TCGA-E2-A1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IHC+, RNA−, HER2-enriched tumour called ER+</w:t>
      </w:r>
    </w:p>
    <w:bookmarkEnd w:id="25"/>
    <w:bookmarkEnd w:id="26"/>
    <w:bookmarkStart w:id="27" w:name="robustness-and-sanity-checks"/>
    <w:p>
      <w:pPr>
        <w:pStyle w:val="Heading1"/>
      </w:pPr>
      <w:r>
        <w:t xml:space="preserve">6. Robustness and sanity checks</w:t>
      </w:r>
    </w:p>
    <w:p>
      <w:pPr>
        <w:pStyle w:val="Compact"/>
        <w:numPr>
          <w:ilvl w:val="0"/>
          <w:numId w:val="1001"/>
        </w:numPr>
      </w:pPr>
      <w:r>
        <w:t xml:space="preserve">Every RNA-label claim was repeated with GMM, prevalence-matched and confident-only cut-offs; the ER result holds under</w:t>
      </w:r>
      <w:r>
        <w:t xml:space="preserve"> </w:t>
      </w:r>
      <w:r>
        <w:t xml:space="preserve">all three, the PR</w:t>
      </w:r>
      <w:r>
        <w:t xml:space="preserve"> </w:t>
      </w:r>
      <w:r>
        <w:t xml:space="preserve">“IHC preference”</w:t>
      </w:r>
      <w:r>
        <w:t xml:space="preserve"> </w:t>
      </w:r>
      <w:r>
        <w:t xml:space="preserve">does not (hence reported as no preference).</w:t>
      </w:r>
    </w:p>
    <w:p>
      <w:pPr>
        <w:pStyle w:val="Compact"/>
        <w:numPr>
          <w:ilvl w:val="0"/>
          <w:numId w:val="1001"/>
        </w:numPr>
      </w:pPr>
      <w:r>
        <w:t xml:space="preserve">Shuffled-label controls are at chance (0.43-0.51) and site-only models are weak (AUC 0.53-0.59), bounding leakage.</w:t>
      </w:r>
    </w:p>
    <w:p>
      <w:pPr>
        <w:pStyle w:val="Compact"/>
        <w:numPr>
          <w:ilvl w:val="0"/>
          <w:numId w:val="1001"/>
        </w:numPr>
      </w:pPr>
      <w:r>
        <w:t xml:space="preserve">Fixed splits were introduced after we found that two scikit-learn versions produce different folds from the same seed;</w:t>
      </w:r>
      <w:r>
        <w:t xml:space="preserve"> </w:t>
      </w:r>
      <w:r>
        <w:t xml:space="preserve">all final numbers use them. Rerunning ABMIL on the fixed splits lowered UNI ABMIL’s ER ΔAUC from +0.034 to +0.018</w:t>
      </w:r>
      <w:r>
        <w:t xml:space="preserve"> </w:t>
      </w:r>
      <w:r>
        <w:t xml:space="preserve">(no longer significant): we report the fixed-split value.</w:t>
      </w:r>
    </w:p>
    <w:p>
      <w:pPr>
        <w:pStyle w:val="Compact"/>
        <w:numPr>
          <w:ilvl w:val="0"/>
          <w:numId w:val="1001"/>
        </w:numPr>
      </w:pPr>
      <w:r>
        <w:t xml:space="preserve">Sanity checks S1-S15 pass; the one exception (S6, CONCH) compares an old laptop run with the Ada run and reflects the</w:t>
      </w:r>
      <w:r>
        <w:t xml:space="preserve"> </w:t>
      </w:r>
      <w:r>
        <w:t xml:space="preserve">library difference above, not a data problem.</w:t>
      </w:r>
    </w:p>
    <w:bookmarkEnd w:id="27"/>
    <w:bookmarkStart w:id="28" w:name="interpretation"/>
    <w:p>
      <w:pPr>
        <w:pStyle w:val="Heading1"/>
      </w:pPr>
      <w:r>
        <w:t xml:space="preserve">7. Interpretation</w:t>
      </w:r>
    </w:p>
    <w:p>
      <w:pPr>
        <w:pStyle w:val="FirstParagraph"/>
      </w:pPr>
      <w:r>
        <w:t xml:space="preserve">Across encoders, heads, cut-offs and slide types, H&amp;E models align more with the transcriptional ER state than with the</w:t>
      </w:r>
      <w:r>
        <w:t xml:space="preserve"> </w:t>
      </w:r>
      <w:r>
        <w:t xml:space="preserve">IHC readout, and with DNA amplification rather than the clinical HER2 call. The discordant cases suggest why: the model</w:t>
      </w:r>
      <w:r>
        <w:t xml:space="preserve"> </w:t>
      </w:r>
      <w:r>
        <w:t xml:space="preserve">reads intrinsic-subtype morphology (basal vs luminal), which RNA reflects more faithfully than IHC when the two disagree.</w:t>
      </w:r>
      <w:r>
        <w:t xml:space="preserve"> </w:t>
      </w:r>
      <w:r>
        <w:t xml:space="preserve">For model development this means that IHC-trained H&amp;E models are partly penalised for being</w:t>
      </w:r>
      <w:r>
        <w:t xml:space="preserve"> </w:t>
      </w:r>
      <w:r>
        <w:t xml:space="preserve">“right”</w:t>
      </w:r>
      <w:r>
        <w:t xml:space="preserve"> </w:t>
      </w:r>
      <w:r>
        <w:t xml:space="preserve">against RNA, and</w:t>
      </w:r>
      <w:r>
        <w:t xml:space="preserve"> </w:t>
      </w:r>
      <w:r>
        <w:t xml:space="preserve">that IHC-only benchmarks understate how much ER biology the slide carries. For interpretation it means that an H&amp;E model</w:t>
      </w:r>
      <w:r>
        <w:t xml:space="preserve"> </w:t>
      </w:r>
      <w:r>
        <w:t xml:space="preserve">should not be expected to recover IHC in low-expression or HER2-enriched tumours, and that a single slide is not the</w:t>
      </w:r>
      <w:r>
        <w:t xml:space="preserve"> </w:t>
      </w:r>
      <w:r>
        <w:t xml:space="preserve">whole tumour (1e).</w:t>
      </w:r>
    </w:p>
    <w:bookmarkEnd w:id="28"/>
    <w:bookmarkStart w:id="29" w:name="limitations"/>
    <w:p>
      <w:pPr>
        <w:pStyle w:val="Heading1"/>
      </w:pPr>
      <w:r>
        <w:t xml:space="preserve">8. Limitations</w:t>
      </w:r>
    </w:p>
    <w:p>
      <w:pPr>
        <w:pStyle w:val="Compact"/>
        <w:numPr>
          <w:ilvl w:val="0"/>
          <w:numId w:val="1002"/>
        </w:numPr>
      </w:pPr>
      <w:r>
        <w:t xml:space="preserve">One cohort (TCGA-BRCA), retrospective, with heterogeneous IHC practice across 40 sites; an external check on</w:t>
      </w:r>
      <w:r>
        <w:t xml:space="preserve"> </w:t>
      </w:r>
      <w:r>
        <w:t xml:space="preserve">CPTAC-BRCA is planned (Tier 6).</w:t>
      </w:r>
    </w:p>
    <w:p>
      <w:pPr>
        <w:pStyle w:val="Compact"/>
        <w:numPr>
          <w:ilvl w:val="0"/>
          <w:numId w:val="1002"/>
        </w:numPr>
      </w:pPr>
      <w:r>
        <w:t xml:space="preserve">Discordant groups are small (ER 54, HER2 60, ER-low 10): 1b and subgroup findings are suggestive, not definitive.</w:t>
      </w:r>
    </w:p>
    <w:p>
      <w:pPr>
        <w:pStyle w:val="Compact"/>
        <w:numPr>
          <w:ilvl w:val="0"/>
          <w:numId w:val="1002"/>
        </w:numPr>
      </w:pPr>
      <w:r>
        <w:t xml:space="preserve">RNA</w:t>
      </w:r>
      <w:r>
        <w:t xml:space="preserve"> </w:t>
      </w:r>
      <w:r>
        <w:t xml:space="preserve">“positivity”</w:t>
      </w:r>
      <w:r>
        <w:t xml:space="preserve"> </w:t>
      </w:r>
      <w:r>
        <w:t xml:space="preserve">depends on a cut-off; we tested three, but no cut-off is clinically validated.</w:t>
      </w:r>
    </w:p>
    <w:p>
      <w:pPr>
        <w:pStyle w:val="Compact"/>
        <w:numPr>
          <w:ilvl w:val="0"/>
          <w:numId w:val="1002"/>
        </w:numPr>
      </w:pPr>
      <w:r>
        <w:t xml:space="preserve">Frozen encoders only; fine-tuning could change which truth is learned (not tested).</w:t>
      </w:r>
    </w:p>
    <w:p>
      <w:pPr>
        <w:pStyle w:val="Compact"/>
        <w:numPr>
          <w:ilvl w:val="0"/>
          <w:numId w:val="1002"/>
        </w:numPr>
      </w:pPr>
      <w:r>
        <w:t xml:space="preserve">Frozen-slide features come from our extraction (verified equal to TRACE on DX slides); 268 of 653 CPTAC slides and</w:t>
      </w:r>
      <w:r>
        <w:t xml:space="preserve"> </w:t>
      </w:r>
      <w:r>
        <w:t xml:space="preserve">48 TCGA DX slides are JPEG-2000 encoded in IDC and could not be read by our pipeline.</w:t>
      </w:r>
    </w:p>
    <w:p>
      <w:pPr>
        <w:pStyle w:val="Compact"/>
        <w:numPr>
          <w:ilvl w:val="0"/>
          <w:numId w:val="1002"/>
        </w:numPr>
      </w:pPr>
      <w:r>
        <w:t xml:space="preserve">The attention review is qualitative and by non-pathologists.</w:t>
      </w:r>
    </w:p>
    <w:bookmarkEnd w:id="29"/>
    <w:bookmarkStart w:id="30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When IHC and RNA disagree about ER, H&amp;E foundation-model classifiers side with RNA and with the tumour’s intrinsic</w:t>
      </w:r>
      <w:r>
        <w:t xml:space="preserve"> </w:t>
      </w:r>
      <w:r>
        <w:t xml:space="preserve">subtype, and this does not depend on whether the slide is the FFPE diagnostic slide or the frozen section next to the</w:t>
      </w:r>
      <w:r>
        <w:t xml:space="preserve"> </w:t>
      </w:r>
      <w:r>
        <w:t xml:space="preserve">sequenced tissue. HER2 predictions track amplification, PR shows no preference, and HER2-low is invisible in H&amp;E.</w:t>
      </w:r>
      <w:r>
        <w:t xml:space="preserve"> </w:t>
      </w:r>
      <w:r>
        <w:t xml:space="preserve">Reference-standard choice should be reported, and ideally varied, when H&amp;E models of receptor status are developed.</w:t>
      </w:r>
    </w:p>
    <w:bookmarkEnd w:id="30"/>
    <w:bookmarkStart w:id="31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Code, job scripts, fixed splits and all result tables are in the project repository (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data/splits/folds.csv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);</w:t>
      </w:r>
      <w:r>
        <w:t xml:space="preserve"> </w:t>
      </w:r>
      <w:r>
        <w:rPr>
          <w:rStyle w:val="VerbatimChar"/>
        </w:rPr>
        <w:t xml:space="preserve">docs/FINAL_RESULTS.md</w:t>
      </w:r>
      <w:r>
        <w:t xml:space="preserve"> </w:t>
      </w:r>
      <w:r>
        <w:t xml:space="preserve">lists the final tables and</w:t>
      </w:r>
      <w:r>
        <w:t xml:space="preserve"> </w:t>
      </w:r>
      <w:r>
        <w:rPr>
          <w:rStyle w:val="VerbatimChar"/>
        </w:rPr>
        <w:t xml:space="preserve">docs/baseline_report.md</w:t>
      </w:r>
      <w:r>
        <w:t xml:space="preserve"> </w:t>
      </w:r>
      <w:r>
        <w:t xml:space="preserve">the</w:t>
      </w:r>
      <w:r>
        <w:t xml:space="preserve"> </w:t>
      </w:r>
      <w:r>
        <w:t xml:space="preserve">detailed results with the command and job that produced each number.</w:t>
      </w:r>
    </w:p>
    <w:bookmarkEnd w:id="31"/>
    <w:bookmarkStart w:id="32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Chen RJ et al. Towards a general-purpose foundation model for computational pathology (UNI).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2024.</w:t>
      </w:r>
    </w:p>
    <w:p>
      <w:pPr>
        <w:pStyle w:val="Compact"/>
        <w:numPr>
          <w:ilvl w:val="0"/>
          <w:numId w:val="1003"/>
        </w:numPr>
      </w:pPr>
      <w:r>
        <w:t xml:space="preserve">Lu MY et al. A visual-language foundation model for computational pathology (CONCH).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2024.</w:t>
      </w:r>
    </w:p>
    <w:p>
      <w:pPr>
        <w:pStyle w:val="Compact"/>
        <w:numPr>
          <w:ilvl w:val="0"/>
          <w:numId w:val="1003"/>
        </w:numPr>
      </w:pPr>
      <w:r>
        <w:t xml:space="preserve">Ding T et al. Multimodal whole slide foundation model for pathology (TITAN). arXiv 2024.</w:t>
      </w:r>
    </w:p>
    <w:p>
      <w:pPr>
        <w:pStyle w:val="Compact"/>
        <w:numPr>
          <w:ilvl w:val="0"/>
          <w:numId w:val="1003"/>
        </w:numPr>
      </w:pPr>
      <w:r>
        <w:t xml:space="preserve">Ilse M, Tomczak J, Welling M. Attention-based deep multiple instance learning.</w:t>
      </w:r>
      <w:r>
        <w:t xml:space="preserve"> </w:t>
      </w:r>
      <w:r>
        <w:rPr>
          <w:i/>
          <w:iCs/>
        </w:rPr>
        <w:t xml:space="preserve">ICML</w:t>
      </w:r>
      <w:r>
        <w:t xml:space="preserve"> </w:t>
      </w:r>
      <w:r>
        <w:t xml:space="preserve">2018.</w:t>
      </w:r>
    </w:p>
    <w:p>
      <w:pPr>
        <w:pStyle w:val="Compact"/>
        <w:numPr>
          <w:ilvl w:val="0"/>
          <w:numId w:val="1003"/>
        </w:numPr>
      </w:pPr>
      <w:r>
        <w:t xml:space="preserve">DeLong ER, DeLong DM, Clarke-Pearson DL. Comparing the areas under two or more correlated ROC curves.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1988.</w:t>
      </w:r>
    </w:p>
    <w:p>
      <w:pPr>
        <w:pStyle w:val="Compact"/>
        <w:numPr>
          <w:ilvl w:val="0"/>
          <w:numId w:val="1003"/>
        </w:numPr>
      </w:pPr>
      <w:r>
        <w:t xml:space="preserve">Allison KH et al. Estrogen and progesterone receptor testing in breast cancer: ASCO/CAP guideline update.</w:t>
      </w:r>
      <w:r>
        <w:t xml:space="preserve"> </w:t>
      </w:r>
      <w:r>
        <w:rPr>
          <w:i/>
          <w:iCs/>
        </w:rPr>
        <w:t xml:space="preserve">J Clin Oncol</w:t>
      </w:r>
      <w:r>
        <w:t xml:space="preserve"> </w:t>
      </w:r>
      <w:r>
        <w:t xml:space="preserve">2020.</w:t>
      </w:r>
    </w:p>
    <w:p>
      <w:pPr>
        <w:pStyle w:val="Compact"/>
        <w:numPr>
          <w:ilvl w:val="0"/>
          <w:numId w:val="1003"/>
        </w:numPr>
      </w:pPr>
      <w:r>
        <w:t xml:space="preserve">Neidlinger P et al. (Kather group).</w:t>
      </w:r>
      <w:r>
        <w:t xml:space="preserve"> </w:t>
      </w:r>
      <w:r>
        <w:rPr>
          <w:i/>
          <w:iCs/>
        </w:rPr>
        <w:t xml:space="preserve">Nature Biomedical Engineering</w:t>
      </w:r>
      <w:r>
        <w:t xml:space="preserve"> </w:t>
      </w:r>
      <w:r>
        <w:t xml:space="preserve">2025, doi:10.1038/s41551-025-01516-3 [benchmark of 19 pathology foundation models incl. ER/PR/HER2, TCGA-BRCA → CPTAC-BRCA].</w:t>
      </w:r>
    </w:p>
    <w:p>
      <w:pPr>
        <w:pStyle w:val="Compact"/>
        <w:numPr>
          <w:ilvl w:val="0"/>
          <w:numId w:val="1003"/>
        </w:numPr>
      </w:pPr>
      <w:r>
        <w:t xml:space="preserve">Fernandez-Romero et al. </w:t>
      </w:r>
      <w:r>
        <w:rPr>
          <w:i/>
          <w:iCs/>
        </w:rPr>
        <w:t xml:space="preserve">Med Biol Eng Comput</w:t>
      </w:r>
      <w:r>
        <w:t xml:space="preserve"> </w:t>
      </w:r>
      <w:r>
        <w:t xml:space="preserve">2026, PMC13269319 [13 foundation models × 3 MIL methods for PAM50 and ER/PR/HER2, TCGA-BRCA → CPTAC-BRCA].</w:t>
      </w:r>
    </w:p>
    <w:p>
      <w:pPr>
        <w:pStyle w:val="Compact"/>
        <w:numPr>
          <w:ilvl w:val="0"/>
          <w:numId w:val="1003"/>
        </w:numPr>
      </w:pPr>
      <w:r>
        <w:t xml:space="preserve">Fedorov A et al. NCI Imaging Data Commons.</w:t>
      </w:r>
      <w:r>
        <w:t xml:space="preserve"> </w:t>
      </w:r>
      <w:r>
        <w:rPr>
          <w:i/>
          <w:iCs/>
        </w:rPr>
        <w:t xml:space="preserve">Cancer Research</w:t>
      </w:r>
      <w:r>
        <w:t xml:space="preserve"> </w:t>
      </w:r>
      <w:r>
        <w:t xml:space="preserve">2021.</w:t>
      </w:r>
    </w:p>
    <w:p>
      <w:pPr>
        <w:pStyle w:val="Compact"/>
        <w:numPr>
          <w:ilvl w:val="0"/>
          <w:numId w:val="1003"/>
        </w:numPr>
      </w:pPr>
      <w:r>
        <w:t xml:space="preserve">The Cancer Genome Atlas Network. Comprehensive molecular portraits of human breast tumours.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2012.</w:t>
      </w:r>
    </w:p>
    <w:p>
      <w:pPr>
        <w:pStyle w:val="Compact"/>
        <w:numPr>
          <w:ilvl w:val="0"/>
          <w:numId w:val="1003"/>
        </w:numPr>
      </w:pPr>
      <w:r>
        <w:t xml:space="preserve">TRACE precomputed TCGA features: huggingface.co/datasets/IUCompPath/TRACE. TRIDENT: github.com/mahmoodlab/TRIDENT.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Which Truth Does the Slide See? Auditing what H&amp;E foundation-model classifiers learn when IHC, RNA and protein disagree</dc:title>
  <dc:creator>Aman Uniyal, Aman Srivastava — Topics in AI for Healthcare, IIIT Hyderabad</dc:creator>
  <cp:keywords/>
  <dcterms:created xsi:type="dcterms:W3CDTF">2026-10-15T14:43:45Z</dcterms:created>
  <dcterms:modified xsi:type="dcterms:W3CDTF">2026-10-15T14:43:45Z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