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TAWT Coin – Capitalization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Stakeholder</w:t>
            </w:r>
          </w:p>
        </w:tc>
        <w:tc>
          <w:tcPr>
            <w:tcW w:type="dxa" w:w="1728"/>
          </w:tcPr>
          <w:p>
            <w:r>
              <w:t>Allocation %</w:t>
            </w:r>
          </w:p>
        </w:tc>
        <w:tc>
          <w:tcPr>
            <w:tcW w:type="dxa" w:w="1728"/>
          </w:tcPr>
          <w:p>
            <w:r>
              <w:t>Token Amount</w:t>
            </w:r>
          </w:p>
        </w:tc>
        <w:tc>
          <w:tcPr>
            <w:tcW w:type="dxa" w:w="1728"/>
          </w:tcPr>
          <w:p>
            <w:r>
              <w:t>Vesting Schedule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Founding Team</w:t>
            </w:r>
          </w:p>
        </w:tc>
        <w:tc>
          <w:tcPr>
            <w:tcW w:type="dxa" w:w="1728"/>
          </w:tcPr>
          <w:p>
            <w:r>
              <w:t>15%</w:t>
            </w:r>
          </w:p>
        </w:tc>
        <w:tc>
          <w:tcPr>
            <w:tcW w:type="dxa" w:w="1728"/>
          </w:tcPr>
          <w:p>
            <w:r>
              <w:t>150,000,000</w:t>
            </w:r>
          </w:p>
        </w:tc>
        <w:tc>
          <w:tcPr>
            <w:tcW w:type="dxa" w:w="1728"/>
          </w:tcPr>
          <w:p>
            <w:r>
              <w:t>6-12 months cliff, 3 years vesting</w:t>
            </w:r>
          </w:p>
        </w:tc>
        <w:tc>
          <w:tcPr>
            <w:tcW w:type="dxa" w:w="1728"/>
          </w:tcPr>
          <w:p>
            <w:r>
              <w:t>Core developers, leadership</w:t>
            </w:r>
          </w:p>
        </w:tc>
      </w:tr>
      <w:tr>
        <w:tc>
          <w:tcPr>
            <w:tcW w:type="dxa" w:w="1728"/>
          </w:tcPr>
          <w:p>
            <w:r>
              <w:t>Advisors &amp; Legal</w:t>
            </w:r>
          </w:p>
        </w:tc>
        <w:tc>
          <w:tcPr>
            <w:tcW w:type="dxa" w:w="1728"/>
          </w:tcPr>
          <w:p>
            <w:r>
              <w:t>5%</w:t>
            </w:r>
          </w:p>
        </w:tc>
        <w:tc>
          <w:tcPr>
            <w:tcW w:type="dxa" w:w="1728"/>
          </w:tcPr>
          <w:p>
            <w:r>
              <w:t>50,000,000</w:t>
            </w:r>
          </w:p>
        </w:tc>
        <w:tc>
          <w:tcPr>
            <w:tcW w:type="dxa" w:w="1728"/>
          </w:tcPr>
          <w:p>
            <w:r>
              <w:t>6-12 months vesting</w:t>
            </w:r>
          </w:p>
        </w:tc>
        <w:tc>
          <w:tcPr>
            <w:tcW w:type="dxa" w:w="1728"/>
          </w:tcPr>
          <w:p>
            <w:r>
              <w:t>Legal, tokenomics, partnerships</w:t>
            </w:r>
          </w:p>
        </w:tc>
      </w:tr>
      <w:tr>
        <w:tc>
          <w:tcPr>
            <w:tcW w:type="dxa" w:w="1728"/>
          </w:tcPr>
          <w:p>
            <w:r>
              <w:t>Pre-seed Investors</w:t>
            </w:r>
          </w:p>
        </w:tc>
        <w:tc>
          <w:tcPr>
            <w:tcW w:type="dxa" w:w="1728"/>
          </w:tcPr>
          <w:p>
            <w:r>
              <w:t>7%</w:t>
            </w:r>
          </w:p>
        </w:tc>
        <w:tc>
          <w:tcPr>
            <w:tcW w:type="dxa" w:w="1728"/>
          </w:tcPr>
          <w:p>
            <w:r>
              <w:t>70,000,000</w:t>
            </w:r>
          </w:p>
        </w:tc>
        <w:tc>
          <w:tcPr>
            <w:tcW w:type="dxa" w:w="1728"/>
          </w:tcPr>
          <w:p>
            <w:r>
              <w:t>Immediate 10%, rest over 12 months</w:t>
            </w:r>
          </w:p>
        </w:tc>
        <w:tc>
          <w:tcPr>
            <w:tcW w:type="dxa" w:w="1728"/>
          </w:tcPr>
          <w:p>
            <w:r>
              <w:t>Raised $3.5M USD</w:t>
            </w:r>
          </w:p>
        </w:tc>
      </w:tr>
      <w:tr>
        <w:tc>
          <w:tcPr>
            <w:tcW w:type="dxa" w:w="1728"/>
          </w:tcPr>
          <w:p>
            <w:r>
              <w:t>Seed Round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100,000,000</w:t>
            </w:r>
          </w:p>
        </w:tc>
        <w:tc>
          <w:tcPr>
            <w:tcW w:type="dxa" w:w="1728"/>
          </w:tcPr>
          <w:p>
            <w:r>
              <w:t>Immediate 20%, rest over 18 months</w:t>
            </w:r>
          </w:p>
        </w:tc>
        <w:tc>
          <w:tcPr>
            <w:tcW w:type="dxa" w:w="1728"/>
          </w:tcPr>
          <w:p>
            <w:r>
              <w:t>Raised $7M USD</w:t>
            </w:r>
          </w:p>
        </w:tc>
      </w:tr>
      <w:tr>
        <w:tc>
          <w:tcPr>
            <w:tcW w:type="dxa" w:w="1728"/>
          </w:tcPr>
          <w:p>
            <w:r>
              <w:t>Private Round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100,000,000</w:t>
            </w:r>
          </w:p>
        </w:tc>
        <w:tc>
          <w:tcPr>
            <w:tcW w:type="dxa" w:w="1728"/>
          </w:tcPr>
          <w:p>
            <w:r>
              <w:t>25% TGE, 75% linear 18 months</w:t>
            </w:r>
          </w:p>
        </w:tc>
        <w:tc>
          <w:tcPr>
            <w:tcW w:type="dxa" w:w="1728"/>
          </w:tcPr>
          <w:p>
            <w:r>
              <w:t>Target $10M</w:t>
            </w:r>
          </w:p>
        </w:tc>
      </w:tr>
      <w:tr>
        <w:tc>
          <w:tcPr>
            <w:tcW w:type="dxa" w:w="1728"/>
          </w:tcPr>
          <w:p>
            <w:r>
              <w:t>Public Sale</w:t>
            </w:r>
          </w:p>
        </w:tc>
        <w:tc>
          <w:tcPr>
            <w:tcW w:type="dxa" w:w="1728"/>
          </w:tcPr>
          <w:p>
            <w:r>
              <w:t>18%</w:t>
            </w:r>
          </w:p>
        </w:tc>
        <w:tc>
          <w:tcPr>
            <w:tcW w:type="dxa" w:w="1728"/>
          </w:tcPr>
          <w:p>
            <w:r>
              <w:t>180,000,000</w:t>
            </w:r>
          </w:p>
        </w:tc>
        <w:tc>
          <w:tcPr>
            <w:tcW w:type="dxa" w:w="1728"/>
          </w:tcPr>
          <w:p>
            <w:r>
              <w:t>30% TGE, 70% over 12 months</w:t>
            </w:r>
          </w:p>
        </w:tc>
        <w:tc>
          <w:tcPr>
            <w:tcW w:type="dxa" w:w="1728"/>
          </w:tcPr>
          <w:p>
            <w:r>
              <w:t>Expected $18M</w:t>
            </w:r>
          </w:p>
        </w:tc>
      </w:tr>
      <w:tr>
        <w:tc>
          <w:tcPr>
            <w:tcW w:type="dxa" w:w="1728"/>
          </w:tcPr>
          <w:p>
            <w:r>
              <w:t>Ecosystem &amp; Community</w:t>
            </w:r>
          </w:p>
        </w:tc>
        <w:tc>
          <w:tcPr>
            <w:tcW w:type="dxa" w:w="1728"/>
          </w:tcPr>
          <w:p>
            <w:r>
              <w:t>15%</w:t>
            </w:r>
          </w:p>
        </w:tc>
        <w:tc>
          <w:tcPr>
            <w:tcW w:type="dxa" w:w="1728"/>
          </w:tcPr>
          <w:p>
            <w:r>
              <w:t>150,000,000</w:t>
            </w:r>
          </w:p>
        </w:tc>
        <w:tc>
          <w:tcPr>
            <w:tcW w:type="dxa" w:w="1728"/>
          </w:tcPr>
          <w:p>
            <w:r>
              <w:t>Flexible / dynamic unlock</w:t>
            </w:r>
          </w:p>
        </w:tc>
        <w:tc>
          <w:tcPr>
            <w:tcW w:type="dxa" w:w="1728"/>
          </w:tcPr>
          <w:p>
            <w:r>
              <w:t>For growth, community engagement</w:t>
            </w:r>
          </w:p>
        </w:tc>
      </w:tr>
      <w:tr>
        <w:tc>
          <w:tcPr>
            <w:tcW w:type="dxa" w:w="1728"/>
          </w:tcPr>
          <w:p>
            <w:r>
              <w:t>Staking Rewards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100,000,000</w:t>
            </w:r>
          </w:p>
        </w:tc>
        <w:tc>
          <w:tcPr>
            <w:tcW w:type="dxa" w:w="1728"/>
          </w:tcPr>
          <w:p>
            <w:r>
              <w:t>Ongoing unlock</w:t>
            </w:r>
          </w:p>
        </w:tc>
        <w:tc>
          <w:tcPr>
            <w:tcW w:type="dxa" w:w="1728"/>
          </w:tcPr>
          <w:p>
            <w:r>
              <w:t>For liquidity &amp; staking participants</w:t>
            </w:r>
          </w:p>
        </w:tc>
      </w:tr>
      <w:tr>
        <w:tc>
          <w:tcPr>
            <w:tcW w:type="dxa" w:w="1728"/>
          </w:tcPr>
          <w:p>
            <w:r>
              <w:t>Platform Incentives</w:t>
            </w:r>
          </w:p>
        </w:tc>
        <w:tc>
          <w:tcPr>
            <w:tcW w:type="dxa" w:w="1728"/>
          </w:tcPr>
          <w:p>
            <w:r>
              <w:t>7%</w:t>
            </w:r>
          </w:p>
        </w:tc>
        <w:tc>
          <w:tcPr>
            <w:tcW w:type="dxa" w:w="1728"/>
          </w:tcPr>
          <w:p>
            <w:r>
              <w:t>70,000,000</w:t>
            </w:r>
          </w:p>
        </w:tc>
        <w:tc>
          <w:tcPr>
            <w:tcW w:type="dxa" w:w="1728"/>
          </w:tcPr>
          <w:p>
            <w:r>
              <w:t>10% release per quarter</w:t>
            </w:r>
          </w:p>
        </w:tc>
        <w:tc>
          <w:tcPr>
            <w:tcW w:type="dxa" w:w="1728"/>
          </w:tcPr>
          <w:p>
            <w:r>
              <w:t>Learn-to-earn, premium access bonuses</w:t>
            </w:r>
          </w:p>
        </w:tc>
      </w:tr>
      <w:tr>
        <w:tc>
          <w:tcPr>
            <w:tcW w:type="dxa" w:w="1728"/>
          </w:tcPr>
          <w:p>
            <w:r>
              <w:t>Reserve / Treasury</w:t>
            </w:r>
          </w:p>
        </w:tc>
        <w:tc>
          <w:tcPr>
            <w:tcW w:type="dxa" w:w="1728"/>
          </w:tcPr>
          <w:p>
            <w:r>
              <w:t>3%</w:t>
            </w:r>
          </w:p>
        </w:tc>
        <w:tc>
          <w:tcPr>
            <w:tcW w:type="dxa" w:w="1728"/>
          </w:tcPr>
          <w:p>
            <w:r>
              <w:t>30,000,000</w:t>
            </w:r>
          </w:p>
        </w:tc>
        <w:tc>
          <w:tcPr>
            <w:tcW w:type="dxa" w:w="1728"/>
          </w:tcPr>
          <w:p>
            <w:r>
              <w:t>Locked 1 year, then strategic use</w:t>
            </w:r>
          </w:p>
        </w:tc>
        <w:tc>
          <w:tcPr>
            <w:tcW w:type="dxa" w:w="1728"/>
          </w:tcPr>
          <w:p>
            <w:r>
              <w:t>Emergency / strategic expansion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