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9DDB" w14:textId="6265EE3B" w:rsidR="0016466D" w:rsidRDefault="0004287A" w:rsidP="005C4912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التنمر </w:t>
      </w:r>
    </w:p>
    <w:p w14:paraId="5D575D42" w14:textId="7BA1974C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اى دا انتى تخينه كدا ليه </w:t>
      </w:r>
    </w:p>
    <w:p w14:paraId="2254950E" w14:textId="5F149331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اى يا بنى ودانك الكبيره دى </w:t>
      </w:r>
    </w:p>
    <w:p w14:paraId="284E2D7F" w14:textId="01363526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اى يا بنتى اللبس دا .. وحش عليكى</w:t>
      </w:r>
    </w:p>
    <w:p w14:paraId="17A1B412" w14:textId="5B5398F4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انتى رفيعه كدا ليه مين بياكل اكلك </w:t>
      </w:r>
    </w:p>
    <w:p w14:paraId="2268CBAE" w14:textId="2981AB8F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مش هتبطلى غباء بقى </w:t>
      </w:r>
    </w:p>
    <w:p w14:paraId="6E9F5FBE" w14:textId="61DC2AEA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اننتى هتفضلى نكديه كدا لحد امتى </w:t>
      </w:r>
    </w:p>
    <w:p w14:paraId="566748CB" w14:textId="311FB7B0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هتفضل فاشل و ملكش لازمه طول عمرك </w:t>
      </w:r>
    </w:p>
    <w:p w14:paraId="28D695C2" w14:textId="030545BB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بص على الى حواليك هتلاقى نفسك اقل واحد </w:t>
      </w:r>
    </w:p>
    <w:p w14:paraId="7C50C22A" w14:textId="24563D48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الجمل دى كتير مننا سمعها سواء اتقالت ليه او كانت بتتقال قدامه لحد </w:t>
      </w:r>
    </w:p>
    <w:p w14:paraId="7E1B97A2" w14:textId="6E383943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الجمل دى مش  هزار ولا روشنه ولا الى بيتريق او بيقولها كدا روش بقى و حقق الكوميديا  </w:t>
      </w:r>
    </w:p>
    <w:p w14:paraId="7DF9AD8E" w14:textId="66394C19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الجمل دى يعنى التنمر </w:t>
      </w:r>
    </w:p>
    <w:p w14:paraId="3F295225" w14:textId="42C74237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طب اى بقى هو التتنمر </w:t>
      </w:r>
    </w:p>
    <w:p w14:paraId="71440A19" w14:textId="65952A0E" w:rsidR="0004287A" w:rsidRDefault="0004287A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نمر الشخص اة غضب و ساء خلقه و اصبح  غاضب  مثل النمر </w:t>
      </w:r>
    </w:p>
    <w:p w14:paraId="267B3D3E" w14:textId="4496669C" w:rsidR="0004287A" w:rsidRDefault="005C4912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التنمر هو شكل من اشكال العنف الى بيقوم بيها شخص او مجموعه من الاشخاص على شخص تانى بشكل مقصود و متكرر </w:t>
      </w:r>
    </w:p>
    <w:p w14:paraId="58EB589F" w14:textId="6EB1CA4E" w:rsidR="005C4912" w:rsidRDefault="005C4912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التنمر ليه اشكال كتير</w:t>
      </w:r>
    </w:p>
    <w:p w14:paraId="6D5D1CD3" w14:textId="59C10FF0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بدنى : الضرب او سرقه و اتلاف الاغراض </w:t>
      </w:r>
    </w:p>
    <w:p w14:paraId="7B13AA55" w14:textId="10C86B46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لفظى: الشتايم و التحقير و السخريه و اطلاق الالقاب و التهديد  </w:t>
      </w:r>
    </w:p>
    <w:p w14:paraId="5F4D9A30" w14:textId="7C7A7681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اجتماعى : التجاهل و الاهمال بشكل متعمد و نشر اشاعات </w:t>
      </w:r>
    </w:p>
    <w:p w14:paraId="1287819E" w14:textId="57A0E9D2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نفسى </w:t>
      </w:r>
      <w:r w:rsidRPr="005C4912">
        <w:rPr>
          <w:rFonts w:ascii="Arial" w:eastAsia="Times New Roman" w:hAnsi="Arial" w:cs="Arial"/>
          <w:color w:val="333333"/>
          <w:sz w:val="29"/>
          <w:szCs w:val="29"/>
          <w:rtl/>
        </w:rPr>
        <w:t>النظرات السيئة، والتربص، التلاعب وإشعار الطفل بأن التنمر من نسج خياله</w:t>
      </w:r>
    </w:p>
    <w:p w14:paraId="4A683828" w14:textId="35B7D752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الكترونى :</w:t>
      </w:r>
      <w:r w:rsidRPr="005C4912">
        <w:rPr>
          <w:rFonts w:ascii="Arial" w:eastAsia="Times New Roman" w:hAnsi="Arial" w:cs="Arial"/>
          <w:i/>
          <w:iCs/>
          <w:color w:val="333333"/>
          <w:sz w:val="29"/>
          <w:szCs w:val="29"/>
          <w:rtl/>
        </w:rPr>
        <w:t xml:space="preserve"> السخرية والتهديد عن طريق الإنترنت عبر الرسائل الإلكترونية، أو الرسائل النصية، أو المواقع الخاصة بشبكات التواصل الاجتماعي، أو أن يتم اختراق الحساب</w:t>
      </w:r>
    </w:p>
    <w:p w14:paraId="529E89F9" w14:textId="5809CB26" w:rsidR="005C4912" w:rsidRDefault="005C4912" w:rsidP="005C4912">
      <w:pPr>
        <w:pStyle w:val="ListParagraph"/>
        <w:jc w:val="right"/>
        <w:rPr>
          <w:rtl/>
          <w:lang w:bidi="ar-EG"/>
        </w:rPr>
      </w:pPr>
    </w:p>
    <w:p w14:paraId="44DE592C" w14:textId="526DBD9F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طب هل اى مضايقه او كلام بايخ الواحد بيتعرضله بيعتبر دا تنمر ولا لا لا؟ </w:t>
      </w:r>
    </w:p>
    <w:p w14:paraId="57105819" w14:textId="040368D2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كتير مننا ممكن يرخم من باب الهزار بس بيبقى مره ولا حاجه </w:t>
      </w:r>
    </w:p>
    <w:p w14:paraId="11D8ED06" w14:textId="26C5629B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لكن التنمر بيبقى اننا نفضل نكرر لكلام البايخ و المؤذى دا بشكل متكرر و احنا قصدينه و ممكن يوصل اننا نتكلم عن حاجات شخصيه </w:t>
      </w:r>
    </w:p>
    <w:p w14:paraId="7D64A71A" w14:textId="035537C0" w:rsidR="005C4912" w:rsidRDefault="005C4912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اصح نعرف ان الكلام دا تنمر لما يتكرر كتير و يبقى مقصود و يكون الى بيقوله شايف انه اقوى منى </w:t>
      </w:r>
    </w:p>
    <w:p w14:paraId="774873C6" w14:textId="318E6786" w:rsidR="005C4912" w:rsidRDefault="005C4912" w:rsidP="005C4912">
      <w:pPr>
        <w:pStyle w:val="ListParagraph"/>
        <w:jc w:val="right"/>
        <w:rPr>
          <w:rtl/>
          <w:lang w:bidi="ar-EG"/>
        </w:rPr>
      </w:pPr>
    </w:p>
    <w:p w14:paraId="3F263C26" w14:textId="38DE47AF" w:rsidR="005C4912" w:rsidRDefault="005C4912" w:rsidP="005C4912">
      <w:pPr>
        <w:pStyle w:val="ListParagraph"/>
        <w:jc w:val="right"/>
        <w:rPr>
          <w:rtl/>
          <w:lang w:bidi="ar-EG"/>
        </w:rPr>
      </w:pPr>
    </w:p>
    <w:p w14:paraId="4270E229" w14:textId="73C8BB79" w:rsidR="005C4912" w:rsidRDefault="00FE7F41" w:rsidP="005C4912">
      <w:pPr>
        <w:pStyle w:val="ListParagraph"/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طب يا ترى الكلا دا بيبقى تاثيره اى على الشخص الى بنتمر عليه </w:t>
      </w:r>
    </w:p>
    <w:p w14:paraId="2AC8039F" w14:textId="22AEDEB3" w:rsidR="00FE7F41" w:rsidRPr="00FE7F41" w:rsidRDefault="00FE7F41" w:rsidP="00FE7F41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 w:hint="cs"/>
          <w:color w:val="333333"/>
          <w:sz w:val="29"/>
          <w:szCs w:val="29"/>
          <w:rtl/>
        </w:rPr>
        <w:t xml:space="preserve">فقدان الثقه بالنفس </w:t>
      </w:r>
    </w:p>
    <w:p w14:paraId="563FC234" w14:textId="77777777" w:rsidR="00FE7F41" w:rsidRPr="00FE7F41" w:rsidRDefault="00FE7F41" w:rsidP="00FE7F41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فقدان التركيز وتراجع الأداء المستوى الدراسي.</w:t>
      </w:r>
    </w:p>
    <w:p w14:paraId="670A1DC1" w14:textId="77777777" w:rsidR="00FE7F41" w:rsidRPr="00FE7F41" w:rsidRDefault="00FE7F41" w:rsidP="00FE7F41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الخجل الاجتماعي والخوف من مواجهة المجتمعات الجديدة.</w:t>
      </w:r>
    </w:p>
    <w:p w14:paraId="0A245F4A" w14:textId="15821CD2" w:rsidR="00FE7F41" w:rsidRDefault="00FE7F41" w:rsidP="00FE7F41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lastRenderedPageBreak/>
        <w:t>احتمال حدوث مشاكل في الصحة النفسية مثل الاكتئاب، والقلق، وحدوث حالات انتحار</w:t>
      </w:r>
    </w:p>
    <w:p w14:paraId="3B986DF2" w14:textId="77777777" w:rsidR="00FE7F41" w:rsidRPr="00FE7F41" w:rsidRDefault="00FE7F41" w:rsidP="00FE7F41">
      <w:pPr>
        <w:shd w:val="clear" w:color="auto" w:fill="FFFFFF"/>
        <w:bidi/>
        <w:spacing w:before="100" w:beforeAutospacing="1" w:after="100" w:afterAutospacing="1" w:line="465" w:lineRule="atLeast"/>
        <w:ind w:left="360"/>
        <w:rPr>
          <w:rFonts w:ascii="Arial" w:eastAsia="Times New Roman" w:hAnsi="Arial" w:cs="Arial"/>
          <w:color w:val="333333"/>
          <w:sz w:val="29"/>
          <w:szCs w:val="29"/>
          <w:rtl/>
        </w:rPr>
      </w:pPr>
    </w:p>
    <w:p w14:paraId="617E1EA2" w14:textId="77777777" w:rsidR="005C4912" w:rsidRDefault="005C4912" w:rsidP="005C4912">
      <w:pPr>
        <w:pStyle w:val="ListParagraph"/>
        <w:jc w:val="right"/>
        <w:rPr>
          <w:rtl/>
        </w:rPr>
      </w:pPr>
    </w:p>
    <w:p w14:paraId="4D1DB7D4" w14:textId="61BEA598" w:rsidR="0004287A" w:rsidRDefault="00FE7F41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مين الاشخاص الى بيتعرضوا للتنمر : </w:t>
      </w:r>
    </w:p>
    <w:p w14:paraId="5B80CE72" w14:textId="53E74B1D" w:rsidR="00FE7F41" w:rsidRDefault="00FE7F41" w:rsidP="00FE7F41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الاشخاص الى بنحس بجهل نحيتهم </w:t>
      </w:r>
      <w:r>
        <w:rPr>
          <w:rFonts w:hint="cs"/>
          <w:rtl/>
          <w:lang w:bidi="ar-EG"/>
        </w:rPr>
        <w:t xml:space="preserve"> اما بنشوف شخص مختلف عننا بنحس الى هو اى سبب الاختلاف ف البعض بحس بعدوانيه و يتنمر </w:t>
      </w:r>
    </w:p>
    <w:p w14:paraId="69E39966" w14:textId="77777777" w:rsidR="00FE7F41" w:rsidRDefault="00FE7F41" w:rsidP="0004287A">
      <w:pPr>
        <w:jc w:val="right"/>
        <w:rPr>
          <w:rtl/>
          <w:lang w:bidi="ar-EG"/>
        </w:rPr>
      </w:pPr>
    </w:p>
    <w:p w14:paraId="41609B4E" w14:textId="77777777" w:rsidR="00FE7F41" w:rsidRPr="00FE7F41" w:rsidRDefault="00FE7F41" w:rsidP="00FE7F41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المختلفين: في المظهر، أو الخلفية الثقافية والدينية، أو الحالة الاجتماعية، أو ممن لديهم مشاكل صحية أو إعاقات.</w:t>
      </w:r>
    </w:p>
    <w:p w14:paraId="3232D714" w14:textId="77777777" w:rsidR="00FE7F41" w:rsidRPr="00FE7F41" w:rsidRDefault="00FE7F41" w:rsidP="00FE7F41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المتفوقين والموهوبين بشكل استثنائي، أو من يحصلون على اهتمام كبير.</w:t>
      </w:r>
    </w:p>
    <w:p w14:paraId="6371E8A4" w14:textId="77777777" w:rsidR="00FE7F41" w:rsidRPr="00FE7F41" w:rsidRDefault="00FE7F41" w:rsidP="00FE7F41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المنطوين والخجولين اجتماعيًا الذين هم لا يميلون للتحدث بصوت عالٍ ويعتبرون ضحايا أسهل للتنمر.</w:t>
      </w:r>
    </w:p>
    <w:p w14:paraId="23F6B545" w14:textId="77777777" w:rsidR="00FE7F41" w:rsidRPr="00FE7F41" w:rsidRDefault="00FE7F41" w:rsidP="00FE7F41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الوافدين الجدد: مثل الطفل الجديد بالمدرسة أو الفريق.</w:t>
      </w:r>
    </w:p>
    <w:p w14:paraId="4A94DBCD" w14:textId="77777777" w:rsidR="00FE7F41" w:rsidRPr="00FE7F41" w:rsidRDefault="00FE7F41" w:rsidP="00FE7F41">
      <w:pPr>
        <w:numPr>
          <w:ilvl w:val="0"/>
          <w:numId w:val="6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المسالمين.</w:t>
      </w:r>
    </w:p>
    <w:p w14:paraId="60BD08D9" w14:textId="2D64616A" w:rsidR="00FE7F41" w:rsidRDefault="00FE7F41" w:rsidP="0004287A">
      <w:pPr>
        <w:jc w:val="right"/>
        <w:rPr>
          <w:rtl/>
          <w:lang w:bidi="ar-EG"/>
        </w:rPr>
      </w:pPr>
    </w:p>
    <w:p w14:paraId="7EF9DB86" w14:textId="1425DFEE" w:rsidR="00FE7F41" w:rsidRDefault="00FE7F41" w:rsidP="0004287A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اسباب التنمر</w:t>
      </w:r>
    </w:p>
    <w:p w14:paraId="0F890076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أغلب الأطفال الذي يمارسون التنمر هم نفسهم تم ممارسة التنمر عليهم من قبل.</w:t>
      </w:r>
    </w:p>
    <w:p w14:paraId="15E37680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أن يكون هؤلاء الأطفال جزءًا من اتفاق، عن طريق الانضمام لمجموعة من المتنمرين طلبًا للشهرة أو الإحساس بالتقبل من الآخرين، أو لتجنب تعرضهم للتنمر.</w:t>
      </w:r>
    </w:p>
    <w:p w14:paraId="5245D8DA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اكتساب وتعلم العدوانية والتنمر في المنزل، أو في المدرسة، أو من خلال وسائل الإعلام.</w:t>
      </w:r>
    </w:p>
    <w:p w14:paraId="5C9D008E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الشعور بالإهمال والتجاهل في المنزل، أو وجود علاقة سيئة مع الأبوين.</w:t>
      </w:r>
    </w:p>
    <w:p w14:paraId="0E2B2DDE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الشعور بالضعف والعجز في حياتهم: فحين يتم تضييق الخناق على الطفل بشكل كبير، فإنه في بعض الأحيان يبحث عن طرق أخرى للحصول على القوة وممارسة السيطرة على الآخرين.</w:t>
      </w:r>
    </w:p>
    <w:p w14:paraId="298B4ECE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الغيرة والبحث عن الاهتمام لجذب الانتباه.</w:t>
      </w:r>
    </w:p>
    <w:p w14:paraId="605AEE4E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الافتقار إلى الشعور بالأمان النفسي والعاطفي.</w:t>
      </w:r>
    </w:p>
    <w:p w14:paraId="1B750C64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t>تجارب سابقة نتجت عن تعلم أن التنمر يؤدي لتحقيق الرغبات.</w:t>
      </w:r>
    </w:p>
    <w:p w14:paraId="74691AF0" w14:textId="77777777" w:rsidR="00FE7F41" w:rsidRPr="00FE7F41" w:rsidRDefault="00FE7F41" w:rsidP="00FE7F41">
      <w:pPr>
        <w:numPr>
          <w:ilvl w:val="0"/>
          <w:numId w:val="7"/>
        </w:numPr>
        <w:shd w:val="clear" w:color="auto" w:fill="FFFFFF"/>
        <w:bidi/>
        <w:spacing w:before="100" w:beforeAutospacing="1" w:after="100" w:afterAutospacing="1" w:line="465" w:lineRule="atLeast"/>
        <w:rPr>
          <w:rFonts w:ascii="Arial" w:eastAsia="Times New Roman" w:hAnsi="Arial" w:cs="Arial"/>
          <w:color w:val="333333"/>
          <w:sz w:val="29"/>
          <w:szCs w:val="29"/>
          <w:rtl/>
        </w:rPr>
      </w:pPr>
      <w:r w:rsidRPr="00FE7F41">
        <w:rPr>
          <w:rFonts w:ascii="Arial" w:eastAsia="Times New Roman" w:hAnsi="Arial" w:cs="Arial"/>
          <w:color w:val="333333"/>
          <w:sz w:val="29"/>
          <w:szCs w:val="29"/>
          <w:rtl/>
        </w:rPr>
        <w:lastRenderedPageBreak/>
        <w:t>عدم الوعي بالأثر السيء الحقيقي للتنمر على الضحية.</w:t>
      </w:r>
    </w:p>
    <w:p w14:paraId="0C0C64FC" w14:textId="33D314FE" w:rsidR="00FE7F41" w:rsidRDefault="00FE7F41" w:rsidP="0004287A">
      <w:pPr>
        <w:jc w:val="right"/>
        <w:rPr>
          <w:rtl/>
        </w:rPr>
      </w:pPr>
    </w:p>
    <w:p w14:paraId="43D91C34" w14:textId="77777777" w:rsidR="00FE7F41" w:rsidRDefault="00FE7F41" w:rsidP="0004287A">
      <w:pPr>
        <w:jc w:val="right"/>
        <w:rPr>
          <w:rFonts w:hint="cs"/>
          <w:rtl/>
        </w:rPr>
      </w:pPr>
    </w:p>
    <w:sectPr w:rsidR="00FE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D5C"/>
    <w:multiLevelType w:val="multilevel"/>
    <w:tmpl w:val="696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76305"/>
    <w:multiLevelType w:val="hybridMultilevel"/>
    <w:tmpl w:val="9752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4175D"/>
    <w:multiLevelType w:val="multilevel"/>
    <w:tmpl w:val="ECB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B3DE6"/>
    <w:multiLevelType w:val="multilevel"/>
    <w:tmpl w:val="A75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56795"/>
    <w:multiLevelType w:val="hybridMultilevel"/>
    <w:tmpl w:val="DFD4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051C"/>
    <w:multiLevelType w:val="hybridMultilevel"/>
    <w:tmpl w:val="924860AA"/>
    <w:lvl w:ilvl="0" w:tplc="DBD06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803207"/>
    <w:multiLevelType w:val="multilevel"/>
    <w:tmpl w:val="D81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04"/>
    <w:rsid w:val="0004287A"/>
    <w:rsid w:val="0016466D"/>
    <w:rsid w:val="0019402C"/>
    <w:rsid w:val="00357A04"/>
    <w:rsid w:val="005C4912"/>
    <w:rsid w:val="009D040E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D652"/>
  <w15:chartTrackingRefBased/>
  <w15:docId w15:val="{94F17914-4229-4D1B-B33F-79E5FBCC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49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491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2021-08-30T03:34:00Z</dcterms:created>
  <dcterms:modified xsi:type="dcterms:W3CDTF">2021-08-30T04:25:00Z</dcterms:modified>
</cp:coreProperties>
</file>