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Georgia" w:cs="Georgia" w:eastAsia="Georgia" w:hAnsi="Georgia"/>
        </w:rPr>
      </w:pPr>
      <w:bookmarkStart w:colFirst="0" w:colLast="0" w:name="_8q9ughrgn8zy" w:id="0"/>
      <w:bookmarkEnd w:id="0"/>
      <w:r w:rsidDel="00000000" w:rsidR="00000000" w:rsidRPr="00000000">
        <w:rPr>
          <w:rFonts w:ascii="Georgia" w:cs="Georgia" w:eastAsia="Georgia" w:hAnsi="Georgia"/>
          <w:rtl w:val="0"/>
        </w:rPr>
        <w:t xml:space="preserve">Additions (in order of impact)</w:t>
      </w:r>
    </w:p>
    <w:p w:rsidR="00000000" w:rsidDel="00000000" w:rsidP="00000000" w:rsidRDefault="00000000" w:rsidRPr="00000000" w14:paraId="00000002">
      <w:pPr>
        <w:pStyle w:val="Heading2"/>
        <w:rPr>
          <w:rFonts w:ascii="Georgia" w:cs="Georgia" w:eastAsia="Georgia" w:hAnsi="Georgia"/>
        </w:rPr>
      </w:pPr>
      <w:bookmarkStart w:colFirst="0" w:colLast="0" w:name="_jr8of9iptruz" w:id="1"/>
      <w:bookmarkEnd w:id="1"/>
      <w:r w:rsidDel="00000000" w:rsidR="00000000" w:rsidRPr="00000000">
        <w:rPr>
          <w:rFonts w:ascii="Georgia" w:cs="Georgia" w:eastAsia="Georgia" w:hAnsi="Georgia"/>
          <w:rtl w:val="0"/>
        </w:rPr>
        <w:t xml:space="preserve">1. Dave's death as the turning point</w:t>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Where: Side A section, at the Swimming Pools / skit paragraph — expand what's already there.</w:t>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rtl w:val="0"/>
        </w:rPr>
        <w:t xml:space="preserve">The Swimming Pools skit is where the night stops being about one bad decision and starts being about mortality. Dave doesn't get a verse; he gets a silence. One friend asks "D—, say somethin', D—?" and the line ends. Dave was in the car for The Art of Peer Pressure, he's been riding through the night, and now he's gone. Everything that follows — Sing About Me, the prayer, the final reflection — is the album trying to figure out what you do when someone who was just here isn't anymore.</w:t>
      </w:r>
    </w:p>
    <w:p w:rsidR="00000000" w:rsidDel="00000000" w:rsidP="00000000" w:rsidRDefault="00000000" w:rsidRPr="00000000" w14:paraId="0000000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rFonts w:ascii="Georgia" w:cs="Georgia" w:eastAsia="Georgia" w:hAnsi="Georgia"/>
        </w:rPr>
      </w:pPr>
      <w:bookmarkStart w:colFirst="0" w:colLast="0" w:name="_ts2jq3k6hqs8" w:id="2"/>
      <w:bookmarkEnd w:id="2"/>
      <w:r w:rsidDel="00000000" w:rsidR="00000000" w:rsidRPr="00000000">
        <w:rPr>
          <w:rFonts w:ascii="Georgia" w:cs="Georgia" w:eastAsia="Georgia" w:hAnsi="Georgia"/>
          <w:rtl w:val="0"/>
        </w:rPr>
        <w:t xml:space="preserve">2. The van as a structural loop</w:t>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Where: Side A section, at the Compton / Track 12 discussion.</w:t>
      </w:r>
    </w:p>
    <w:p w:rsidR="00000000" w:rsidDel="00000000" w:rsidP="00000000" w:rsidRDefault="00000000" w:rsidRPr="00000000" w14:paraId="00000008">
      <w:pPr>
        <w:rPr>
          <w:rFonts w:ascii="Georgia" w:cs="Georgia" w:eastAsia="Georgia" w:hAnsi="Georgia"/>
        </w:rPr>
      </w:pPr>
      <w:r w:rsidDel="00000000" w:rsidR="00000000" w:rsidRPr="00000000">
        <w:rPr>
          <w:rFonts w:ascii="Georgia" w:cs="Georgia" w:eastAsia="Georgia" w:hAnsi="Georgia"/>
          <w:rtl w:val="0"/>
        </w:rPr>
        <w:t xml:space="preserve">Track 1 begins with a missed call: K.Dot's mom is asking where the van is. Track 12 ends with an outgoing call: "Mom, I'm finna use the van real quick." He didn't answer at the start of the night. Now he's the one reaching out. The van is not a planted symbol; it's the same physical object, and its return means the loop the album opened has finally closed.</w:t>
      </w:r>
    </w:p>
    <w:p w:rsidR="00000000" w:rsidDel="00000000" w:rsidP="00000000" w:rsidRDefault="00000000" w:rsidRPr="00000000" w14:paraId="0000000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rFonts w:ascii="Georgia" w:cs="Georgia" w:eastAsia="Georgia" w:hAnsi="Georgia"/>
        </w:rPr>
      </w:pPr>
      <w:bookmarkStart w:colFirst="0" w:colLast="0" w:name="_t80frdal4pd6" w:id="3"/>
      <w:bookmarkEnd w:id="3"/>
      <w:r w:rsidDel="00000000" w:rsidR="00000000" w:rsidRPr="00000000">
        <w:rPr>
          <w:rFonts w:ascii="Georgia" w:cs="Georgia" w:eastAsia="Georgia" w:hAnsi="Georgia"/>
          <w:rtl w:val="0"/>
        </w:rPr>
        <w:t xml:space="preserve">3. The three sampling examples (Influence section)</w:t>
      </w:r>
    </w:p>
    <w:p w:rsidR="00000000" w:rsidDel="00000000" w:rsidP="00000000" w:rsidRDefault="00000000" w:rsidRPr="00000000" w14:paraId="0000000B">
      <w:pPr>
        <w:rPr>
          <w:rFonts w:ascii="Georgia" w:cs="Georgia" w:eastAsia="Georgia" w:hAnsi="Georgia"/>
        </w:rPr>
      </w:pPr>
      <w:r w:rsidDel="00000000" w:rsidR="00000000" w:rsidRPr="00000000">
        <w:rPr>
          <w:rFonts w:ascii="Georgia" w:cs="Georgia" w:eastAsia="Georgia" w:hAnsi="Georgia"/>
          <w:rtl w:val="0"/>
        </w:rPr>
        <w:t xml:space="preserve">Where: Influence section — replace the current vague mention of sampling with specifics.</w:t>
      </w:r>
    </w:p>
    <w:p w:rsidR="00000000" w:rsidDel="00000000" w:rsidP="00000000" w:rsidRDefault="00000000" w:rsidRPr="00000000" w14:paraId="0000000C">
      <w:pPr>
        <w:rPr>
          <w:rFonts w:ascii="Georgia" w:cs="Georgia" w:eastAsia="Georgia" w:hAnsi="Georgia"/>
        </w:rPr>
      </w:pPr>
      <w:r w:rsidDel="00000000" w:rsidR="00000000" w:rsidRPr="00000000">
        <w:rPr>
          <w:rFonts w:ascii="Georgia" w:cs="Georgia" w:eastAsia="Georgia" w:hAnsi="Georgia"/>
          <w:rtl w:val="0"/>
        </w:rPr>
        <w:t xml:space="preserve">Three cases tell the story precisely. In 2004, Madlib pulls eight bars from Huit Octobre 1971 for MF DOOM's One Beer. In 2013, a German rap duo samples Sabbat pt. 1 — the ritual-breath opener of that three-part suite. In 2025, Kanye West returns to the same Huit Octobre passage. Jazz to hip-hop, French to German, 1975 to 2025: the album has been quietly inside other records for fifty years. It's not that people sampled Cortex — it's that the same few bars keep getting rediscovered by different ears in different countries in different decades.</w:t>
      </w:r>
    </w:p>
    <w:p w:rsidR="00000000" w:rsidDel="00000000" w:rsidP="00000000" w:rsidRDefault="00000000" w:rsidRPr="00000000" w14:paraId="0000000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rFonts w:ascii="Georgia" w:cs="Georgia" w:eastAsia="Georgia" w:hAnsi="Georgia"/>
        </w:rPr>
      </w:pPr>
      <w:bookmarkStart w:colFirst="0" w:colLast="0" w:name="_r7bybwyrr6n9" w:id="4"/>
      <w:bookmarkEnd w:id="4"/>
      <w:r w:rsidDel="00000000" w:rsidR="00000000" w:rsidRPr="00000000">
        <w:rPr>
          <w:rFonts w:ascii="Georgia" w:cs="Georgia" w:eastAsia="Georgia" w:hAnsi="Georgia"/>
          <w:rtl w:val="0"/>
        </w:rPr>
        <w:t xml:space="preserve">4. The Sabbat suite as a structural unit</w:t>
      </w:r>
    </w:p>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Where: Side B section, after the discussion of Huit Octobre.</w:t>
      </w:r>
    </w:p>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Tracks 10 through 12 are a single movement given three names. Sabbat pt. 1 opens the suite with something close to a ritual breath — short, still, almost ceremonial. Pt. 2 runs the longest, and the mood shifts noticeably: the drums feel like a march, the bass gets heavier, and Dalbray's voice, which has been present on nearly every track until now, disappears entirely. Pt. 3 lasts thirty-one seconds and then it's gone. Cortex doesn't end this movement with a statement; they let it dissolve. That's the album's most distinctive structural decision.</w:t>
      </w:r>
    </w:p>
    <w:p w:rsidR="00000000" w:rsidDel="00000000" w:rsidP="00000000" w:rsidRDefault="00000000" w:rsidRPr="00000000" w14:paraId="0000001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rFonts w:ascii="Georgia" w:cs="Georgia" w:eastAsia="Georgia" w:hAnsi="Georgia"/>
        </w:rPr>
      </w:pPr>
      <w:bookmarkStart w:colFirst="0" w:colLast="0" w:name="_79ozehcxps03" w:id="5"/>
      <w:bookmarkEnd w:id="5"/>
      <w:r w:rsidDel="00000000" w:rsidR="00000000" w:rsidRPr="00000000">
        <w:rPr>
          <w:rFonts w:ascii="Georgia" w:cs="Georgia" w:eastAsia="Georgia" w:hAnsi="Georgia"/>
          <w:rtl w:val="0"/>
        </w:rPr>
        <w:t xml:space="preserve">5. The temporal clock</w:t>
      </w:r>
    </w:p>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Where: Side A section, directly after introducing the album's narrative/causal structure — before discussing specific tracks.</w:t>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The album runs on a clock. The voicemail log opens at 4:48 PM, when K.Dot's mom is calling about the van and he's standing outside Sherane's house deciding not to answer. It closes at 11:54 PM, when he's the one making the call. Every track between those timestamps is a single day making itself irreversible.</w:t>
      </w:r>
    </w:p>
    <w:p w:rsidR="00000000" w:rsidDel="00000000" w:rsidP="00000000" w:rsidRDefault="00000000" w:rsidRPr="00000000" w14:paraId="0000001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rFonts w:ascii="Georgia" w:cs="Georgia" w:eastAsia="Georgia" w:hAnsi="Georgia"/>
        </w:rPr>
      </w:pPr>
      <w:bookmarkStart w:colFirst="0" w:colLast="0" w:name="_2nkre3u06p1t" w:id="6"/>
      <w:bookmarkEnd w:id="6"/>
      <w:r w:rsidDel="00000000" w:rsidR="00000000" w:rsidRPr="00000000">
        <w:rPr>
          <w:rFonts w:ascii="Georgia" w:cs="Georgia" w:eastAsia="Georgia" w:hAnsi="Georgia"/>
          <w:rtl w:val="0"/>
        </w:rPr>
        <w:t xml:space="preserve">6. Grevet's bass as the album's spine</w:t>
      </w:r>
    </w:p>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Where: Side B section, in or after the motif/texture discussion.</w:t>
      </w:r>
    </w:p>
    <w:p w:rsidR="00000000" w:rsidDel="00000000" w:rsidP="00000000" w:rsidRDefault="00000000" w:rsidRPr="00000000" w14:paraId="00000018">
      <w:pPr>
        <w:rPr>
          <w:rFonts w:ascii="Georgia" w:cs="Georgia" w:eastAsia="Georgia" w:hAnsi="Georgia"/>
        </w:rPr>
      </w:pPr>
      <w:r w:rsidDel="00000000" w:rsidR="00000000" w:rsidRPr="00000000">
        <w:rPr>
          <w:rFonts w:ascii="Georgia" w:cs="Georgia" w:eastAsia="Georgia" w:hAnsi="Georgia"/>
          <w:rtl w:val="0"/>
        </w:rPr>
        <w:t xml:space="preserve">If you map which elements appear on which tracks, one thing stands out: Grevet's bass is the only element that rates as central on nearly every piece. The album ends with Madbass — the one track where the bass stops accompanying anything and just steps forward alone. The closer gives the floor to the instrument that has been quietly holding everything together. The album ends where its structural support was all along.</w:t>
      </w:r>
    </w:p>
    <w:p w:rsidR="00000000" w:rsidDel="00000000" w:rsidP="00000000" w:rsidRDefault="00000000" w:rsidRPr="00000000" w14:paraId="0000001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rFonts w:ascii="Georgia" w:cs="Georgia" w:eastAsia="Georgia" w:hAnsi="Georgia"/>
        </w:rPr>
      </w:pPr>
      <w:bookmarkStart w:colFirst="0" w:colLast="0" w:name="_evl0imerwzy" w:id="7"/>
      <w:bookmarkEnd w:id="7"/>
      <w:r w:rsidDel="00000000" w:rsidR="00000000" w:rsidRPr="00000000">
        <w:rPr>
          <w:rFonts w:ascii="Georgia" w:cs="Georgia" w:eastAsia="Georgia" w:hAnsi="Georgia"/>
          <w:rtl w:val="0"/>
        </w:rPr>
        <w:t xml:space="preserve">7. History timeline payoff (lower priority)</w:t>
      </w:r>
    </w:p>
    <w:p w:rsidR="00000000" w:rsidDel="00000000" w:rsidP="00000000" w:rsidRDefault="00000000" w:rsidRPr="00000000" w14:paraId="0000001B">
      <w:pPr>
        <w:rPr>
          <w:rFonts w:ascii="Georgia" w:cs="Georgia" w:eastAsia="Georgia" w:hAnsi="Georgia"/>
        </w:rPr>
      </w:pPr>
      <w:r w:rsidDel="00000000" w:rsidR="00000000" w:rsidRPr="00000000">
        <w:rPr>
          <w:rFonts w:ascii="Georgia" w:cs="Georgia" w:eastAsia="Georgia" w:hAnsi="Georgia"/>
          <w:rtl w:val="0"/>
        </w:rPr>
        <w:t xml:space="preserve">Where: End of History section, as the bridge into the two albums.</w:t>
      </w:r>
    </w:p>
    <w:p w:rsidR="00000000" w:rsidDel="00000000" w:rsidP="00000000" w:rsidRDefault="00000000" w:rsidRPr="00000000" w14:paraId="0000001C">
      <w:pPr>
        <w:rPr>
          <w:rFonts w:ascii="Georgia" w:cs="Georgia" w:eastAsia="Georgia" w:hAnsi="Georgia"/>
        </w:rPr>
      </w:pPr>
      <w:r w:rsidDel="00000000" w:rsidR="00000000" w:rsidRPr="00000000">
        <w:rPr>
          <w:rFonts w:ascii="Georgia" w:cs="Georgia" w:eastAsia="Georgia" w:hAnsi="Georgia"/>
          <w:rtl w:val="0"/>
        </w:rPr>
        <w:t xml:space="preserve">The timeline lands at 1975 for a reason. By the LP era, the thousand-year question has two new answers available. A record can hold together because it tells a story, or because it returns to a sound. These aren't just two albums — they're where that long history arrives.</w:t>
      </w:r>
    </w:p>
    <w:p w:rsidR="00000000" w:rsidDel="00000000" w:rsidP="00000000" w:rsidRDefault="00000000" w:rsidRPr="00000000" w14:paraId="0000001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rPr>
          <w:rFonts w:ascii="Georgia" w:cs="Georgia" w:eastAsia="Georgia" w:hAnsi="Georgia"/>
        </w:rPr>
      </w:pPr>
      <w:bookmarkStart w:colFirst="0" w:colLast="0" w:name="_ftcnh0ly2u6i" w:id="8"/>
      <w:bookmarkEnd w:id="8"/>
      <w:r w:rsidDel="00000000" w:rsidR="00000000" w:rsidRPr="00000000">
        <w:rPr>
          <w:rFonts w:ascii="Georgia" w:cs="Georgia" w:eastAsia="Georgia" w:hAnsi="Georgia"/>
          <w:rtl w:val="0"/>
        </w:rPr>
        <w:t xml:space="preserve">Verification</w:t>
      </w:r>
    </w:p>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After adding: read the script aloud from the Side A section through the Influence section and check that:</w:t>
      </w:r>
    </w:p>
    <w:p w:rsidR="00000000" w:rsidDel="00000000" w:rsidP="00000000" w:rsidRDefault="00000000" w:rsidRPr="00000000" w14:paraId="00000020">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The temporal clock (Addition 5) comes before the track discussion</w:t>
      </w:r>
    </w:p>
    <w:p w:rsidR="00000000" w:rsidDel="00000000" w:rsidP="00000000" w:rsidRDefault="00000000" w:rsidRPr="00000000" w14:paraId="00000021">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Dave's death (Addition 1) appears at Swimming Pools, before Sing About Me</w:t>
      </w:r>
    </w:p>
    <w:p w:rsidR="00000000" w:rsidDel="00000000" w:rsidP="00000000" w:rsidRDefault="00000000" w:rsidRPr="00000000" w14:paraId="00000022">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The van loop (Addition 2) lands at or near Track 12 / Compton</w:t>
      </w:r>
    </w:p>
    <w:p w:rsidR="00000000" w:rsidDel="00000000" w:rsidP="00000000" w:rsidRDefault="00000000" w:rsidRPr="00000000" w14:paraId="00000023">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The Sabbat suite (Addition 4) follows Huit Octobre in the Side B section</w:t>
      </w:r>
    </w:p>
    <w:p w:rsidR="00000000" w:rsidDel="00000000" w:rsidP="00000000" w:rsidRDefault="00000000" w:rsidRPr="00000000" w14:paraId="0000002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The bass spine (Addition 6) follows the motif observation</w:t>
      </w:r>
    </w:p>
    <w:p w:rsidR="00000000" w:rsidDel="00000000" w:rsidP="00000000" w:rsidRDefault="00000000" w:rsidRPr="00000000" w14:paraId="00000025">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The sampling examples (Addition 3) replace the vague line in the Influence section</w:t>
      </w:r>
    </w:p>
    <w:p w:rsidR="00000000" w:rsidDel="00000000" w:rsidP="00000000" w:rsidRDefault="00000000" w:rsidRPr="00000000" w14:paraId="00000026">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