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ook Antiqua" w:hAnsi="Book Antiqua"/>
          <w:b/>
          <w:i w:val="0"/>
          <w:color w:val="1B365D"/>
          <w:sz w:val="28"/>
        </w:rPr>
        <w:t>Comprehensive Publication Tables for Battery Anode Screening &amp; CGCNN Framework</w:t>
      </w:r>
    </w:p>
    <w:p>
      <w:pPr>
        <w:spacing w:before="280" w:after="80"/>
      </w:pPr>
      <w:r>
        <w:rPr>
          <w:rFonts w:ascii="Book Antiqua" w:hAnsi="Book Antiqua"/>
          <w:b/>
          <w:i w:val="0"/>
          <w:color w:val="1B365D"/>
          <w:sz w:val="20"/>
        </w:rPr>
        <w:t>Table 1. Descriptive Statistics for 7 Core Physical Target Properties in Anode Dataset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none"/>
          <w:insideV w:val="non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Property</w:t>
            </w:r>
          </w:p>
        </w:tc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Count</w:t>
            </w:r>
          </w:p>
        </w:tc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Mean</w:t>
            </w:r>
          </w:p>
        </w:tc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Std Dev</w:t>
            </w:r>
          </w:p>
        </w:tc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Min</w:t>
            </w:r>
          </w:p>
        </w:tc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Q1 (25%)</w:t>
            </w:r>
          </w:p>
        </w:tc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Median</w:t>
            </w:r>
          </w:p>
        </w:tc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Q3 (75%)</w:t>
            </w:r>
          </w:p>
        </w:tc>
        <w:tc>
          <w:tcPr>
            <w:tcW w:type="dxa" w:w="104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Max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Band Gap ($E_g$, eV)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1.188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1.374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0.000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0.000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0.858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1.819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7.356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Formation Energy ($E_f$, eV/atom)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115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-1.002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0.938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-3.642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-1.696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-0.845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-0.310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0.821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Energy Above Hull ($E_{\mathrm{hull}}$, eV/atom)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1.115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1.044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0.000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0.134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0.954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1.829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5.107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Li Adsorption Energy ($E_{\mathrm{ads}}$, eV)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115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-2.938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1.065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-7.102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-3.560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-2.946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-2.065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-0.819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Bulk Modulus ($K$, GPa)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57.789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60.852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5.000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24.050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37.680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70.390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419.280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Shear Modulus ($G$, GPa)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115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32.365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52.523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1.320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10.375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19.520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33.010</w:t>
            </w:r>
          </w:p>
        </w:tc>
        <w:tc>
          <w:tcPr>
            <w:tcW w:type="dxa" w:w="104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475.470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Young's Modulus ($E$, GPa)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80.056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119.018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3.873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27.373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52.595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80.695</w:t>
            </w:r>
          </w:p>
        </w:tc>
        <w:tc>
          <w:tcPr>
            <w:tcW w:type="dxa" w:w="104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1035.127</w:t>
            </w:r>
          </w:p>
        </w:tc>
      </w:tr>
    </w:tbl>
    <w:p>
      <w:pPr>
        <w:spacing w:before="280" w:after="80"/>
      </w:pPr>
      <w:r>
        <w:rPr>
          <w:rFonts w:ascii="Book Antiqua" w:hAnsi="Book Antiqua"/>
          <w:b/>
          <w:i w:val="0"/>
          <w:color w:val="1B365D"/>
          <w:sz w:val="20"/>
        </w:rPr>
        <w:t>Table 1c. Material Category Breakdown and Average Target Property Profiles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none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F1F5F9"/>
            <w:tcBorders>
              <w:bottom w:val="single" w:sz="8" w:space="0" w:color="1B365D"/>
            </w:tcBorders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Chemical Family</w:t>
            </w:r>
          </w:p>
        </w:tc>
        <w:tc>
          <w:tcPr>
            <w:tcW w:type="dxa" w:w="117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Count (N)</w:t>
            </w:r>
          </w:p>
        </w:tc>
        <w:tc>
          <w:tcPr>
            <w:tcW w:type="dxa" w:w="117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Percentage (%)</w:t>
            </w:r>
          </w:p>
        </w:tc>
        <w:tc>
          <w:tcPr>
            <w:tcW w:type="dxa" w:w="1170"/>
            <w:shd w:fill="F1F5F9"/>
            <w:tcBorders>
              <w:bottom w:val="single" w:sz="8" w:space="0" w:color="1B365D"/>
            </w:tcBorders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Sample Formulas</w:t>
            </w:r>
          </w:p>
        </w:tc>
        <w:tc>
          <w:tcPr>
            <w:tcW w:type="dxa" w:w="117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Mean Eg (eV)</w:t>
            </w:r>
          </w:p>
        </w:tc>
        <w:tc>
          <w:tcPr>
            <w:tcW w:type="dxa" w:w="117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Mean Ef (eV/at)</w:t>
            </w:r>
          </w:p>
        </w:tc>
        <w:tc>
          <w:tcPr>
            <w:tcW w:type="dxa" w:w="117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Mean K (GPa)</w:t>
            </w:r>
          </w:p>
        </w:tc>
        <w:tc>
          <w:tcPr>
            <w:tcW w:type="dxa" w:w="1170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Mean Eads (eV)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Chalcogenides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33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28.700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GaSe, VS2, VSe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0.660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-0.510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47.100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-3.010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Halides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31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27.000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LiBi4F20, PF5, HfCl4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1.520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-1.220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25.600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-3.180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Oxides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14.800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LiCr9O27, ZrO2, FeC2O6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1.890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-1.870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77.500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-3.310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Pnictides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11.300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CN2, Bi2Pt, Bi2Pt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0.660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-0.260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85.100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-2.530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Oxyhalides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10.400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AgClO2, SbClO, Sr2FeBrO3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1.410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-1.890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65.200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-2.450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Intermetallics/Alloys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2.600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Ga, YMg5, Hg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0.050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0.090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32.200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-2.360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Oxychalcogenides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2.600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Ag2SO4, TeO3, Te2SO7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2.100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-0.990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65.600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-2.340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Carbides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1.700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C, NbC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1.770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-0.140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359.500</w:t>
            </w:r>
          </w:p>
        </w:tc>
        <w:tc>
          <w:tcPr>
            <w:tcW w:type="dxa" w:w="1170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-2.310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Semimetals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0.900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Si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0.000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0.170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81.600</w:t>
            </w:r>
          </w:p>
        </w:tc>
        <w:tc>
          <w:tcPr>
            <w:tcW w:type="dxa" w:w="1170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-2.760</w:t>
            </w:r>
          </w:p>
        </w:tc>
      </w:tr>
    </w:tbl>
    <w:p>
      <w:pPr>
        <w:spacing w:before="280" w:after="80"/>
      </w:pPr>
      <w:r>
        <w:rPr>
          <w:rFonts w:ascii="Book Antiqua" w:hAnsi="Book Antiqua"/>
          <w:b/>
          <w:i w:val="0"/>
          <w:color w:val="1B365D"/>
          <w:sz w:val="20"/>
        </w:rPr>
        <w:t>Table 2. Quantitative Evaluation Metrics for Multi-Task CGCNN across 7 Target Objectives (70/15/15 Fair Split)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1F5F9"/>
            <w:tcBorders>
              <w:bottom w:val="single" w:sz="8" w:space="0" w:color="1B365D"/>
            </w:tcBorders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Target Property</w:t>
            </w:r>
          </w:p>
        </w:tc>
        <w:tc>
          <w:tcPr>
            <w:tcW w:type="dxa" w:w="1872"/>
            <w:shd w:fill="F1F5F9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Dataset Partition</w:t>
            </w:r>
          </w:p>
        </w:tc>
        <w:tc>
          <w:tcPr>
            <w:tcW w:type="dxa" w:w="1872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R² Score</w:t>
            </w:r>
          </w:p>
        </w:tc>
        <w:tc>
          <w:tcPr>
            <w:tcW w:type="dxa" w:w="1872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MAE</w:t>
            </w:r>
          </w:p>
        </w:tc>
        <w:tc>
          <w:tcPr>
            <w:tcW w:type="dxa" w:w="1872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RMSE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Band Gap ($E_g$, eV)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Train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0.069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0.089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Band Gap ($E_g$, eV)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Val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0.994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0.059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0.079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Band Gap ($E_g$, eV)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0.989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0.112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0.139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Formation Energy ($E_f$, eV/atom)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Train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0.993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0.060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0.077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Formation Energy ($E_f$, eV/atom)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Val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0.994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0.062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0.071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Formation Energy ($E_f$, eV/atom)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0.985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0.092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0.115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Energy Above Hull ($E_{\mathrm{hull}}$, eV/atom)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Train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0.046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0.060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Energy Above Hull ($E_{\mathrm{hull}}$, eV/atom)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Val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0.995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0.061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0.071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Energy Above Hull ($E_{\mathrm{hull}}$, eV/atom)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0.055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0.068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Li Adsorption Energy ($E_{\mathrm{ads}}$, eV)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Train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0.992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0.068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0.088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Li Adsorption Energy ($E_{\mathrm{ads}}$, eV)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Val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0.097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0.108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Li Adsorption Energy ($E_{\mathrm{ads}}$, eV)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0.989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0.095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0.111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Bulk Modulus ($K$, GPa)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Train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0.998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2.393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3.031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Bulk Modulus ($K$, GPa)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Val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0.998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2.287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2.863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Bulk Modulus ($K$, GPa)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0.987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3.986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4.802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Shear Modulus ($G$, GPa)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Train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0.999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1.762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2.172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Shear Modulus ($G$, GPa)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Val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0.997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1.733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2.195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Shear Modulus ($G$, GPa)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0.994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1.596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1.839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Young's Modulus ($E$, GPa)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Train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3.332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4.165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Young's Modulus ($E$, GPa)</w:t>
            </w:r>
          </w:p>
        </w:tc>
        <w:tc>
          <w:tcPr>
            <w:tcW w:type="dxa" w:w="1872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Val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0.999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2.758</w:t>
            </w:r>
          </w:p>
        </w:tc>
        <w:tc>
          <w:tcPr>
            <w:tcW w:type="dxa" w:w="1872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3.331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Young's Modulus ($E$, GPa)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Test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0.990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4.479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5.897</w:t>
            </w:r>
          </w:p>
        </w:tc>
      </w:tr>
    </w:tbl>
    <w:p>
      <w:pPr>
        <w:spacing w:before="280" w:after="80"/>
      </w:pPr>
      <w:r>
        <w:rPr>
          <w:rFonts w:ascii="Book Antiqua" w:hAnsi="Book Antiqua"/>
          <w:b/>
          <w:i w:val="0"/>
          <w:color w:val="1B365D"/>
          <w:sz w:val="20"/>
        </w:rPr>
        <w:t>Table 3. Top 10 Candidate Anode Host Materials Ranked by Multi-Objective Composite Screening Score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none"/>
          <w:insideV w:val="none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Rank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Formula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Eg (eV)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Ef (eV/at)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Ehull (eV/at)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K (GPa)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G (GPa)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 (GPa)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Eads (eV)</w:t>
            </w:r>
          </w:p>
        </w:tc>
        <w:tc>
          <w:tcPr>
            <w:tcW w:type="dxa" w:w="936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Score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C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3.425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0.269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0.286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422.600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476.200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1036.040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-2.827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0.681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NbC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0.026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-0.586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3.600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303.131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200.936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484.769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-1.874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0.611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FeOF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-0.007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-1.511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1.063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173.280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88.575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241.402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-2.170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0.604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Rb2F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0.051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-1.792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-0.053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12.219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2.496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10.202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-1.884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0.574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CuMoO4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-0.050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-1.672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2.642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133.692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56.861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158.197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-2.146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0.548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NbF3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0.103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-2.701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0.593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93.560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44.840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113.638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-3.013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0.540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HoBrO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3.717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-3.269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0.061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47.530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28.563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69.878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-2.141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0.539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Mn2F7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0.009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-1.749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0.766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37.348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20.623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59.087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-2.577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0.527</w:t>
            </w:r>
          </w:p>
        </w:tc>
      </w:tr>
      <w:tr>
        <w:tc>
          <w:tcPr>
            <w:tcW w:type="dxa" w:w="936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936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MnF4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0.026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-2.255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0.310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51.912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34.118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76.299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-3.128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0.520</w:t>
            </w:r>
          </w:p>
        </w:tc>
      </w:tr>
      <w:tr>
        <w:tc>
          <w:tcPr>
            <w:tcW w:type="dxa" w:w="936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936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YMg5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-0.199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0.055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0.187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37.482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18.337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45.902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-2.040</w:t>
            </w:r>
          </w:p>
        </w:tc>
        <w:tc>
          <w:tcPr>
            <w:tcW w:type="dxa" w:w="936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0.520</w:t>
            </w:r>
          </w:p>
        </w:tc>
      </w:tr>
    </w:tbl>
    <w:p>
      <w:pPr>
        <w:spacing w:before="280" w:after="80"/>
      </w:pPr>
      <w:r>
        <w:rPr>
          <w:rFonts w:ascii="Book Antiqua" w:hAnsi="Book Antiqua"/>
          <w:b/>
          <w:i w:val="0"/>
          <w:color w:val="1B365D"/>
          <w:sz w:val="20"/>
        </w:rPr>
        <w:t>Table 4. Functional Properties and Leaderboard for 3D Graphene TPMS Sheet Anode Scaffolds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left w:val="none"/>
          <w:right w:val="none"/>
          <w:insideH w:val="none"/>
          <w:insideV w:val="none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Rank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lef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Topology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Atoms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Density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Eg (eV)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Ef (eV/at)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K (GPa)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G (GPa)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 (GPa)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Eads (eV)</w:t>
            </w:r>
          </w:p>
        </w:tc>
        <w:tc>
          <w:tcPr>
            <w:tcW w:type="dxa" w:w="851"/>
            <w:shd w:fill="F1F5F9"/>
            <w:tcBorders>
              <w:bottom w:val="single" w:sz="8" w:space="0" w:color="1B365D"/>
            </w:tcBorders>
          </w:tcPr>
          <w:p>
            <w:pPr>
              <w:jc w:val="right"/>
            </w:pPr>
            <w:r>
              <w:rPr>
                <w:rFonts w:ascii="Book Antiqua" w:hAnsi="Book Antiqua"/>
                <w:b/>
                <w:i w:val="0"/>
                <w:color w:val="1B365D"/>
                <w:sz w:val="19"/>
              </w:rPr>
              <w:t>Score</w:t>
            </w:r>
          </w:p>
        </w:tc>
      </w:tr>
      <w:tr>
        <w:tc>
          <w:tcPr>
            <w:tcW w:type="dxa" w:w="851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851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Diamond (D)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332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2.400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0.124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152.400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78.200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198.500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-2.480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0.939</w:t>
            </w:r>
          </w:p>
        </w:tc>
      </w:tr>
      <w:tr>
        <w:tc>
          <w:tcPr>
            <w:tcW w:type="dxa" w:w="851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851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Gyroid (G)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244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1.930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0.000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0.098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126.800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64.500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163.700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-2.550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0.826</w:t>
            </w:r>
          </w:p>
        </w:tc>
      </w:tr>
      <w:tr>
        <w:tc>
          <w:tcPr>
            <w:tcW w:type="dxa" w:w="851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851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IWP (I-WP)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228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2.260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0.020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0.145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142.100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71.000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181.200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-2.350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0.807</w:t>
            </w:r>
          </w:p>
        </w:tc>
      </w:tr>
      <w:tr>
        <w:tc>
          <w:tcPr>
            <w:tcW w:type="dxa" w:w="851"/>
            <w:shd w:fill="F8FAFC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851"/>
            <w:shd w:fill="F8FAFC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Neovius (N)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188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2.050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0.010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0.162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131.500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66.800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170.100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-2.280</w:t>
            </w:r>
          </w:p>
        </w:tc>
        <w:tc>
          <w:tcPr>
            <w:tcW w:type="dxa" w:w="851"/>
            <w:shd w:fill="F8FAFC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0.709</w:t>
            </w:r>
          </w:p>
        </w:tc>
      </w:tr>
      <w:tr>
        <w:tc>
          <w:tcPr>
            <w:tcW w:type="dxa" w:w="851"/>
          </w:tcPr>
          <w:p>
            <w:pPr>
              <w:jc w:val="center"/>
            </w:pPr>
            <w:r>
              <w:rPr>
                <w:rFonts w:ascii="Book Antiqua" w:hAnsi="Book Antiqua"/>
                <w:b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851"/>
          </w:tcPr>
          <w:p>
            <w:pPr>
              <w:jc w:val="lef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Primitive (P)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200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1.290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0.000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0.185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84.600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42.100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108.200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-2.120</w:t>
            </w:r>
          </w:p>
        </w:tc>
        <w:tc>
          <w:tcPr>
            <w:tcW w:type="dxa" w:w="851"/>
          </w:tcPr>
          <w:p>
            <w:pPr>
              <w:jc w:val="right"/>
            </w:pPr>
            <w:r>
              <w:rPr>
                <w:rFonts w:ascii="Book Antiqua" w:hAnsi="Book Antiqua"/>
                <w:b w:val="0"/>
                <w:i w:val="0"/>
                <w:color w:val="000000"/>
                <w:sz w:val="19"/>
              </w:rPr>
              <w:t>0.340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