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b/>
          <w:b/>
          <w:bCs/>
          <w:sz w:val="32"/>
          <w:szCs w:val="32"/>
          <w:lang w:val="en-US"/>
        </w:rPr>
      </w:pPr>
      <w:r>
        <w:rPr>
          <w:b/>
          <w:bCs/>
          <w:sz w:val="32"/>
          <w:szCs w:val="32"/>
          <w:lang w:val="en-US"/>
        </w:rPr>
        <w:t xml:space="preserve">Crystal Graph Convolutional Neural Network (CGCNN)-Based Prediction of Electronic, Thermodynamic, and Mechanical Properties for Lithium-Sulfur Battery Cathode Screening </w:t>
      </w:r>
    </w:p>
    <w:p>
      <w:pPr>
        <w:pStyle w:val="Normal"/>
        <w:rPr>
          <w:rFonts w:eastAsia="Times New Roman"/>
          <w:b/>
          <w:b/>
          <w:bCs/>
          <w:szCs w:val="20"/>
        </w:rPr>
      </w:pPr>
      <w:r>
        <w:rPr>
          <w:szCs w:val="32"/>
          <w:lang w:val="en-US"/>
        </w:rPr>
        <w:br/>
      </w:r>
      <w:r>
        <w:rPr>
          <w:rFonts w:eastAsia="Times New Roman"/>
          <w:b/>
          <w:bCs/>
          <w:szCs w:val="20"/>
          <w:vertAlign w:val="superscript"/>
        </w:rPr>
        <w:t>a</w:t>
      </w:r>
      <w:r>
        <w:rPr>
          <w:rFonts w:eastAsia="Times New Roman"/>
          <w:b/>
          <w:bCs/>
          <w:szCs w:val="20"/>
        </w:rPr>
        <w:t xml:space="preserve">Muhammad Amarus Salam, </w:t>
      </w:r>
      <w:r>
        <w:rPr>
          <w:rFonts w:eastAsia="Times New Roman"/>
          <w:b/>
          <w:bCs/>
          <w:szCs w:val="20"/>
          <w:vertAlign w:val="superscript"/>
        </w:rPr>
        <w:t>a</w:t>
      </w:r>
      <w:r>
        <w:rPr>
          <w:rFonts w:eastAsia="Times New Roman"/>
          <w:b/>
          <w:bCs/>
          <w:szCs w:val="20"/>
        </w:rPr>
        <w:t xml:space="preserve">*Mauludi Ariesto Pamungkas, </w:t>
      </w:r>
      <w:r>
        <w:rPr>
          <w:rFonts w:eastAsia="Times New Roman"/>
          <w:b/>
          <w:bCs/>
          <w:szCs w:val="20"/>
          <w:vertAlign w:val="superscript"/>
        </w:rPr>
        <w:t>b</w:t>
      </w:r>
      <w:r>
        <w:rPr>
          <w:rFonts w:eastAsia="Times New Roman"/>
          <w:b/>
          <w:bCs/>
          <w:szCs w:val="20"/>
        </w:rPr>
        <w:t xml:space="preserve">Muhammad Hilmy Alfaruqi  </w:t>
      </w:r>
    </w:p>
    <w:p>
      <w:pPr>
        <w:pStyle w:val="Adress"/>
        <w:pBdr>
          <w:top w:val="single" w:sz="4" w:space="1" w:color="000000"/>
        </w:pBdr>
        <w:spacing w:lineRule="auto" w:line="276" w:before="240" w:after="240"/>
        <w:ind w:left="993" w:hanging="568"/>
        <w:rPr>
          <w:rFonts w:cs="Arial"/>
        </w:rPr>
      </w:pPr>
      <w:r>
        <w:rPr>
          <w:rFonts w:cs="Arial"/>
          <w:sz w:val="18"/>
          <w:szCs w:val="18"/>
          <w:lang w:val="en-US"/>
        </w:rPr>
        <w:t>[a]</w:t>
        <w:tab/>
        <w:t>Department of Physics, Universitas Brawijaya, Malang, Indonesia</w:t>
        <w:br/>
        <w:t xml:space="preserve">*E-mail: </w:t>
      </w:r>
      <w:hyperlink r:id="rId2">
        <w:r>
          <w:rPr>
            <w:rStyle w:val="InternetLink"/>
            <w:rFonts w:cs="Arial"/>
            <w:sz w:val="18"/>
            <w:szCs w:val="18"/>
            <w:lang w:val="en-US"/>
          </w:rPr>
          <w:t>m_ariesto@ub.ac.id</w:t>
        </w:r>
      </w:hyperlink>
    </w:p>
    <w:p>
      <w:pPr>
        <w:pStyle w:val="Adress"/>
        <w:pBdr>
          <w:top w:val="single" w:sz="4" w:space="1" w:color="000000"/>
        </w:pBdr>
        <w:spacing w:lineRule="auto" w:line="276" w:before="240" w:after="240"/>
        <w:ind w:left="993" w:hanging="568"/>
        <w:rPr>
          <w:rFonts w:cs="Arial"/>
          <w:b/>
          <w:b/>
          <w:bCs/>
          <w:sz w:val="18"/>
          <w:szCs w:val="18"/>
          <w:lang w:val="en-US"/>
        </w:rPr>
      </w:pPr>
      <w:r>
        <w:rPr>
          <w:rFonts w:cs="Arial"/>
        </w:rPr>
        <w:t>[b</w:t>
      </w:r>
      <w:r>
        <w:rPr>
          <w:rFonts w:cs="Arial"/>
          <w:sz w:val="18"/>
          <w:szCs w:val="18"/>
        </w:rPr>
        <w:t xml:space="preserve">]          </w:t>
      </w:r>
      <w:r>
        <w:rPr>
          <w:rFonts w:cs="Arial"/>
          <w:b/>
          <w:bCs/>
          <w:sz w:val="18"/>
          <w:szCs w:val="18"/>
          <w:lang w:val="en-US"/>
        </w:rPr>
        <w:t>Department</w:t>
      </w:r>
      <w:r>
        <w:rPr>
          <w:rFonts w:cs="Arial"/>
          <w:sz w:val="18"/>
          <w:szCs w:val="18"/>
          <w:lang w:val="en-US"/>
        </w:rPr>
        <w:t> of Materials Science and Engineering, Chonnam National University, Gwangju 61186</w:t>
      </w:r>
      <w:r>
        <w:rPr>
          <w:rFonts w:cs="Arial"/>
          <w:b/>
          <w:bCs/>
          <w:sz w:val="18"/>
          <w:szCs w:val="18"/>
          <w:lang w:val="en-US"/>
        </w:rPr>
        <w:t xml:space="preserve">,  </w:t>
      </w:r>
    </w:p>
    <w:p>
      <w:pPr>
        <w:pStyle w:val="Adress"/>
        <w:pBdr>
          <w:top w:val="single" w:sz="4" w:space="1" w:color="000000"/>
        </w:pBdr>
        <w:spacing w:lineRule="auto" w:line="276" w:before="240" w:after="240"/>
        <w:ind w:left="993" w:hanging="568"/>
        <w:rPr>
          <w:rFonts w:cs="Arial"/>
          <w:sz w:val="18"/>
          <w:szCs w:val="18"/>
          <w:lang w:val="en-US"/>
        </w:rPr>
      </w:pPr>
      <w:r>
        <w:rPr>
          <w:rFonts w:cs="Arial"/>
          <w:b/>
          <w:bCs/>
          <w:sz w:val="18"/>
          <w:szCs w:val="18"/>
          <w:lang w:val="en-US"/>
        </w:rPr>
        <w:t xml:space="preserve">             </w:t>
      </w:r>
      <w:r>
        <w:rPr>
          <w:rFonts w:cs="Arial"/>
          <w:b/>
          <w:bCs/>
          <w:sz w:val="18"/>
          <w:szCs w:val="18"/>
          <w:lang w:val="en-US"/>
        </w:rPr>
        <w:t>Korea</w:t>
      </w:r>
    </w:p>
    <w:p>
      <w:pPr>
        <w:pStyle w:val="Normal"/>
        <w:spacing w:lineRule="auto" w:line="360" w:before="240" w:after="0"/>
        <w:jc w:val="both"/>
        <w:rPr>
          <w:rFonts w:eastAsia="Times New Roman"/>
          <w:b/>
          <w:b/>
          <w:bCs/>
          <w:szCs w:val="20"/>
        </w:rPr>
      </w:pPr>
      <w:r>
        <w:rPr>
          <w:rFonts w:eastAsia="Times New Roman"/>
          <w:b/>
          <w:bCs/>
          <w:szCs w:val="20"/>
        </w:rPr>
        <w:t xml:space="preserve">Abstract:  </w:t>
      </w:r>
    </w:p>
    <w:p>
      <w:pPr>
        <w:pStyle w:val="Normal"/>
        <w:spacing w:lineRule="auto" w:line="360" w:before="240" w:after="0"/>
        <w:jc w:val="both"/>
        <w:rPr>
          <w:rFonts w:eastAsia="Times New Roman"/>
          <w:szCs w:val="20"/>
        </w:rPr>
      </w:pPr>
      <w:r>
        <w:rPr>
          <w:rFonts w:eastAsia="Times New Roman"/>
          <w:szCs w:val="20"/>
        </w:rPr>
        <w:t xml:space="preserve">Lithium-sulfur batteries (LiSB) are one of the most promising next-generation energy storage technologies because they offer high specific capacity and energy density. However, several challenges face the implementation of LiSB: the low conductivity of sulfur, volume expansion of the cathode during charge-discharge cycling, and the polysulfide shuttle phenomenon. Therefore, cathode host materials are needed to possess high electrical conductivity, thermodynamic stability, and mechanical robustness. Material properties can be calculated using Density Functional Theory (DFT). Unfortunately, DFT calculations are time-consuming and computationally expensive. Thus, in this study, a Crystal Graph Convolutional Neural Network (CGCNN) model was used to predict four properties: band gap, formation energy, bulk modulus, and shear modulus using the JARVIS-DFT database. The model evaluation results for every property show good performance with </w:t>
      </w:r>
      <w:r>
        <w:rPr>
          <w:rFonts w:eastAsia="Times New Roman"/>
        </w:rPr>
        <w:t>R</w:t>
      </w:r>
      <w:r>
        <w:rPr>
          <w:rFonts w:eastAsia="Times New Roman"/>
          <w:vertAlign w:val="superscript"/>
        </w:rPr>
        <w:t>2</w:t>
      </w:r>
      <w:r>
        <w:rPr>
          <w:rFonts w:eastAsia="Times New Roman"/>
          <w:szCs w:val="20"/>
        </w:rPr>
        <w:t xml:space="preserve"> values of 0.9976 for band gap, 0.9965 for formation energy, 0.9890 for bulk modulus, and 0.9823 for shear modulus. For material screening, a Triply Periodic Minimal Surface (TPMS), particularly the Gyroid structure, was used, achieving the highest suitability score of 0.68. Owing to its suitability score for properties, the gyroid structure is the most promising Cathode for LiSB. These results indicate that CGCNN can efficiently screen cathode host materials for LiSB.  </w:t>
      </w:r>
    </w:p>
    <w:p>
      <w:pPr>
        <w:pStyle w:val="Normal"/>
        <w:spacing w:lineRule="auto" w:line="360" w:before="240" w:after="0"/>
        <w:jc w:val="both"/>
        <w:rPr>
          <w:rFonts w:eastAsia="Times New Roman"/>
          <w:b/>
          <w:b/>
          <w:bCs/>
          <w:szCs w:val="20"/>
        </w:rPr>
      </w:pPr>
      <w:r>
        <w:rPr>
          <w:rFonts w:eastAsia="Times New Roman"/>
          <w:b/>
          <w:bCs/>
          <w:szCs w:val="20"/>
        </w:rPr>
        <w:t>Keywords:</w:t>
      </w:r>
    </w:p>
    <w:p>
      <w:pPr>
        <w:pStyle w:val="Normal"/>
        <w:spacing w:lineRule="auto" w:line="360" w:before="240" w:after="0"/>
        <w:jc w:val="both"/>
        <w:rPr>
          <w:rFonts w:eastAsia="Times New Roman"/>
        </w:rPr>
      </w:pPr>
      <w:r>
        <w:rPr>
          <w:rFonts w:eastAsia="Times New Roman"/>
          <w:szCs w:val="20"/>
        </w:rPr>
        <w:t>Lithium-sulfur batteries; CGCNN, Cathode host materials; Materials Screening; TPMS</w:t>
      </w:r>
      <w:r>
        <w:rPr>
          <w:rFonts w:eastAsia="Times New Roman"/>
        </w:rPr>
        <w:t xml:space="preserve"> </w:t>
      </w:r>
    </w:p>
    <w:p>
      <w:pPr>
        <w:pStyle w:val="Normal"/>
        <w:spacing w:lineRule="auto" w:line="360" w:before="240" w:after="0"/>
        <w:jc w:val="both"/>
        <w:rPr>
          <w:rFonts w:eastAsia="Times New Roman"/>
        </w:rPr>
      </w:pPr>
      <w:r>
        <w:rPr>
          <w:rFonts w:eastAsia="Times New Roman"/>
        </w:rPr>
        <w:br/>
        <w:br/>
        <w:br/>
      </w:r>
    </w:p>
    <w:p>
      <w:pPr>
        <w:pStyle w:val="Normal"/>
        <w:spacing w:lineRule="auto" w:line="360" w:before="240" w:after="0"/>
        <w:jc w:val="both"/>
        <w:rPr>
          <w:rFonts w:eastAsia="Times New Roman"/>
          <w:b/>
          <w:b/>
          <w:bCs/>
          <w:szCs w:val="20"/>
        </w:rPr>
      </w:pPr>
      <w:r>
        <w:rPr>
          <w:rFonts w:eastAsia="Times New Roman"/>
          <w:b/>
          <w:bCs/>
          <w:szCs w:val="20"/>
        </w:rPr>
      </w:r>
    </w:p>
    <w:p>
      <w:pPr>
        <w:pStyle w:val="Normal"/>
        <w:spacing w:lineRule="auto" w:line="360" w:before="240" w:after="0"/>
        <w:jc w:val="both"/>
        <w:rPr>
          <w:rFonts w:eastAsia="Times New Roman"/>
          <w:b/>
          <w:b/>
          <w:bCs/>
          <w:szCs w:val="20"/>
        </w:rPr>
      </w:pPr>
      <w:r>
        <w:rPr>
          <w:rFonts w:eastAsia="Times New Roman"/>
          <w:b/>
          <w:bCs/>
          <w:szCs w:val="20"/>
        </w:rPr>
        <w:t>1. Introduction</w:t>
      </w:r>
    </w:p>
    <w:p>
      <w:pPr>
        <w:pStyle w:val="ListParagraph"/>
        <w:numPr>
          <w:ilvl w:val="1"/>
          <w:numId w:val="1"/>
        </w:numPr>
        <w:spacing w:lineRule="auto" w:line="360" w:before="240" w:after="0"/>
        <w:contextualSpacing/>
        <w:jc w:val="both"/>
        <w:rPr>
          <w:rFonts w:eastAsia="Times New Roman"/>
          <w:b/>
          <w:b/>
          <w:bCs/>
          <w:szCs w:val="20"/>
        </w:rPr>
      </w:pPr>
      <w:r>
        <w:rPr>
          <w:rFonts w:eastAsia="Times New Roman"/>
          <w:b/>
          <w:bCs/>
          <w:szCs w:val="20"/>
        </w:rPr>
        <w:t>Background of Lithium-Sulfur Batteries (</w:t>
      </w:r>
    </w:p>
    <w:p>
      <w:pPr>
        <w:pStyle w:val="Normal"/>
        <w:spacing w:lineRule="auto" w:line="360"/>
        <w:ind w:firstLine="360"/>
        <w:jc w:val="both"/>
        <w:rPr/>
      </w:pPr>
      <w:r>
        <w:rPr/>
        <w:t xml:space="preserve">Lithium-ion batteries (LiBs) are the main technology, especially in the energy storage market for portable electronics and electric vehicle applications, because of their high efficiency, long cycle life, and well-developed manufacturing methods. However, electric vehicle applications, coupled with the expansion of large-scale renewable energy systems, are urgently needed and increasing rapidly </w:t>
      </w:r>
      <w:r>
        <w:fldChar w:fldCharType="begin"/>
      </w:r>
      <w:r>
        <w:rPr/>
        <w:instrText xml:space="preserve">ADDIN ZOTERO_ITEM CSL_CITATION {"citationID":"V6VZfghD","properties":{"unsorted":false,"formattedCitation":"[1]","plainCitation":"[1]","noteIndex":0},"citationItems":[{"id":470,"uris":["http://zotero.org/users/21185978/items/3M874M8N"],"itemData":{"id":470,"type":"article-journal","container-title":"Journal of Energy Storage","DOI":"10.1016/j.est.2023.108033","journalAbbreviation":"Journal of Energy Storage","page":"108033","title":"Design and optimization of lithium-ion battery as an efficient energy storage device for electric vehicles: A comprehensive review","volume":"71","author":[{"family":"Khan","given":"F. M. N. U."},{"family":"Rasul","given":"M. G."},{"family":"Sayem","given":"A. S. M."},{"family":"Mandal","given":"N. K."}],"issued":{"date-parts":[["2023",11]]}}}],"schema":"https://github.com/citation-style-language/schema/raw/master/csl-citation.json"}</w:instrText>
      </w:r>
      <w:r>
        <w:rPr/>
      </w:r>
      <w:r>
        <w:rPr/>
        <w:fldChar w:fldCharType="separate"/>
      </w:r>
      <w:r>
        <w:rPr/>
        <w:t>[1]</w:t>
      </w:r>
      <w:r>
        <w:rPr/>
      </w:r>
      <w:r>
        <w:rPr/>
        <w:fldChar w:fldCharType="end"/>
      </w:r>
      <w:r>
        <w:rPr/>
        <w:t>. Among the most promising options for next-generation energy storage are lithium-sulfur batteries (LiSBs), because they achieve a high theoretical specific capacity of 1675 mAh g</w:t>
      </w:r>
      <w:r>
        <w:rPr>
          <w:vertAlign w:val="superscript"/>
        </w:rPr>
        <w:t>-1</w:t>
      </w:r>
      <w:r>
        <w:rPr/>
        <w:t xml:space="preserve"> and a theoretical energy density of 2600 Wh kg-1, figures that surpass those of conventional lithium-ion batteries </w:t>
      </w:r>
      <w:r>
        <w:fldChar w:fldCharType="begin"/>
      </w:r>
      <w:r>
        <w:rPr/>
        <w:instrText xml:space="preserve">ADDIN ZOTERO_ITEM CSL_CITATION {"citationID":"cDFS4EC5","properties":{"unsorted":false,"formattedCitation":"[2], [3], [4], [5]","plainCitation":"[2], [3], [4], [5]","noteIndex":0},"citationItems":[{"id":466,"uris":["http://zotero.org/users/21185978/items/HLICHXRB"],"itemData":{"id":466,"type":"article-journal","container-title":"Journal of Energy Storage","DOI":"10.1016/j.est.2024.111419","journalAbbreviation":"Journal of Energy Storage","page":"111419","title":"Uncovering the discharge structure evolution and electrochemical performance of sulfur cathode host 2D-Fe0.89M0.11S2 (M = Ti, V)","volume":"87","author":[{"family":"Wei","given":"C.-D."},{"family":"Xue","given":"H.-T."},{"family":"Zhao","given":"Q.-S."},{"family":"Hu","given":"Y.-X."},{"family":"Tang","given":"F.-L."}],"issued":{"date-parts":[["2024",5]]}}},{"id":458,"uris":["http://zotero.org/users/21185978/items/3Y6UG3YQ"],"itemData":{"id":458,"type":"article-journal","container-title":"Journal of Power Sources","DOI":"10.1016/j.jpowsour.2017.07.077","journalAbbreviation":"Journal of Power Sources","page":"384-391","title":"Separator for lithium-sulfur battery based on polymer blend membrane","volume":"363","author":[{"family":"Freitag","given":"A."},{"family":"Stamm","given":"M."},{"family":"Ionov","given":"L."}],"issued":{"date-parts":[["2017",9]]}}},{"id":462,"uris":["http://zotero.org/users/21185978/items/RSSEMQXE"],"itemData":{"id":462,"type":"article-journal","container-title":"Chinese Journal of Catalysis","DOI":"10.1016/S1872-2067(26)64968-6","journalAbbreviation":"Chinese Journal of Catalysis","page":"96-131","title":"The rise of practical lithium-sulfur battery materials","volume":"83","author":[{"family":"Narayan Singh","given":"A."},{"family":"Nam","given":"K.-W."}],"issued":{"date-parts":[["2026",4]]}}},{"id":457,"uris":["http://zotero.org/users/21185978/items/WJVY8V8A"],"itemData":{"id":457,"type":"article-journal","container-title":"Energy Storage Materials","DOI":"10.1016/j.ensm.2025.104617","journalAbbreviation":"Energy Storage Materials","page":"104617","title":"Inside lithium–sulfur batteries: Real-time multimodal insights into structure and polysulfide dynamics","volume":"82","author":[{"family":"Khan","given":"M."}],"issued":{"date-parts":[["2025",10]]}}}],"schema":"https://github.com/citation-style-language/schema/raw/master/csl-citation.json"}</w:instrText>
      </w:r>
      <w:r>
        <w:rPr/>
      </w:r>
      <w:r>
        <w:rPr/>
        <w:fldChar w:fldCharType="separate"/>
      </w:r>
      <w:r>
        <w:rPr/>
        <w:t>[2], [3], [4], [5]</w:t>
      </w:r>
      <w:r>
        <w:rPr/>
      </w:r>
      <w:r>
        <w:rPr/>
        <w:fldChar w:fldCharType="end"/>
      </w:r>
      <w:r>
        <w:rPr/>
        <w:t>. Also, sulfur is abundant and usually found in volcanic mountains, has a lower cost than the cathode materials in L</w:t>
      </w:r>
      <w:r>
        <w:rPr>
          <w:lang w:val="id-ID"/>
        </w:rPr>
        <w:t>i</w:t>
      </w:r>
      <w:r>
        <w:rPr/>
        <w:t xml:space="preserve">Bs, and is environmentally benign. These factors make LiSB a sustainable alternative for energy storage </w:t>
      </w:r>
      <w:r>
        <w:fldChar w:fldCharType="begin"/>
      </w:r>
      <w:r>
        <w:rPr/>
        <w:instrText xml:space="preserve">ADDIN ZOTERO_ITEM CSL_CITATION {"citationID":"LWVIIqRG","properties":{"unsorted":false,"formattedCitation":"[6], [7]","plainCitation":"[6], [7]","noteIndex":0},"citationItems":[{"id":454,"uris":["http://zotero.org/users/21185978/items/QEYHMALF"],"itemData":{"id":454,"type":"article-journal","container-title":"ChemNanoMat","DOI":"10.1002/cnma.202500408","issue":"1","journalAbbreviation":"ChemNanoMat","title":"Cathode Design for High-Performance Li-S Batteries: A Brief Review","volume":"12","author":[{"family":"Usman","given":"U. M."},{"family":"Prajapati","given":"A. K."},{"family":"Bhatnagar","given":"A."},{"literal":"Shalu"}],"issued":{"date-parts":[["2026"]]}}},{"id":453,"uris":["http://zotero.org/users/21185978/items/BCCKYZ4X"],"itemData":{"id":453,"type":"article-journal","container-title":"Journal of Solid State Electrochemistry","DOI":"10.1007/s10008-023-05387-z","issue":"4","journalAbbreviation":"Journal of Solid State Electrochemistry","page":"813-839","title":"Cathode materials for lithium-sulfur battery: a review","volume":"27","author":[{"family":"Mori","given":"R."}],"issued":{"date-parts":[["2023",4]]}}}],"schema":"https://github.com/citation-style-language/schema/raw/master/csl-citation.json"}</w:instrText>
      </w:r>
      <w:r>
        <w:rPr/>
      </w:r>
      <w:r>
        <w:rPr/>
        <w:fldChar w:fldCharType="separate"/>
      </w:r>
      <w:r>
        <w:rPr/>
        <w:t>[6], [7]</w:t>
      </w:r>
      <w:r>
        <w:rPr/>
      </w:r>
      <w:r>
        <w:rPr/>
        <w:fldChar w:fldCharType="end"/>
      </w:r>
      <w:r>
        <w:rPr/>
        <w:t xml:space="preserve">. The comparison and motivation between LiSB and LiB as an alternative for the next energy storage is illustrated in Figure 1 </w:t>
      </w:r>
    </w:p>
    <w:p>
      <w:pPr>
        <w:pStyle w:val="Normal"/>
        <w:rPr/>
      </w:pPr>
      <w:r>
        <w:rPr/>
        <w:drawing>
          <wp:inline distT="0" distB="0" distL="0" distR="0">
            <wp:extent cx="5942965" cy="3684905"/>
            <wp:effectExtent l="0" t="0" r="0" b="0"/>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3"/>
                    <a:stretch>
                      <a:fillRect/>
                    </a:stretch>
                  </pic:blipFill>
                  <pic:spPr bwMode="auto">
                    <a:xfrm>
                      <a:off x="0" y="0"/>
                      <a:ext cx="5942965" cy="3684905"/>
                    </a:xfrm>
                    <a:prstGeom prst="rect">
                      <a:avLst/>
                    </a:prstGeom>
                  </pic:spPr>
                </pic:pic>
              </a:graphicData>
            </a:graphic>
          </wp:inline>
        </w:drawing>
      </w:r>
    </w:p>
    <w:p>
      <w:pPr>
        <w:pStyle w:val="Caption1"/>
        <w:jc w:val="center"/>
        <w:rPr/>
      </w:pPr>
      <w:r>
        <w:rPr/>
        <w:t xml:space="preserve">Figure 1 </w:t>
      </w:r>
      <w:r>
        <w:rPr>
          <w:b w:val="false"/>
          <w:bCs/>
        </w:rPr>
        <w:t>Comparison between lithium-sulfur and lithium-ion batteries</w:t>
      </w:r>
    </w:p>
    <w:p>
      <w:pPr>
        <w:pStyle w:val="ListParagraph"/>
        <w:numPr>
          <w:ilvl w:val="1"/>
          <w:numId w:val="1"/>
        </w:numPr>
        <w:spacing w:lineRule="auto" w:line="360"/>
        <w:jc w:val="both"/>
        <w:rPr>
          <w:rFonts w:eastAsia="Times New Roman"/>
          <w:b/>
          <w:b/>
          <w:bCs/>
        </w:rPr>
      </w:pPr>
      <w:r>
        <w:rPr>
          <w:rFonts w:eastAsia="Times New Roman"/>
          <w:b/>
          <w:bCs/>
        </w:rPr>
        <w:t>The Main Issues of Lithium-Sulfur Batteries</w:t>
      </w:r>
    </w:p>
    <w:p>
      <w:pPr>
        <w:pStyle w:val="Normal"/>
        <w:spacing w:lineRule="auto" w:line="360"/>
        <w:ind w:firstLine="360"/>
        <w:jc w:val="both"/>
        <w:rPr>
          <w:rFonts w:eastAsia="Times New Roman"/>
        </w:rPr>
      </w:pPr>
      <w:r>
        <w:rPr>
          <w:rFonts w:eastAsia="Times New Roman"/>
        </w:rPr>
        <w:t>Even though LiSB has excellent theoretical performance, its practical implementation is still hampered by several fundamental issues as illustrated in Figure 2. Sulfur is a non-metallic material that has low electrical conductivity, which limits charge transfer and obstructs electrochemical reactions. Furthermore, the final product of LiSB, which is Li</w:t>
      </w:r>
      <w:r>
        <w:rPr>
          <w:rFonts w:eastAsia="Times New Roman"/>
          <w:vertAlign w:val="subscript"/>
        </w:rPr>
        <w:t>2</w:t>
      </w:r>
      <w:r>
        <w:rPr>
          <w:rFonts w:eastAsia="Times New Roman"/>
        </w:rPr>
        <w:t xml:space="preserve">S, has volume expansion (80%) during charge and discharge cycles. Therefore, the cathode structure becomes unstable and degrades the electrochemical performance of LiSB </w:t>
      </w:r>
      <w:r>
        <w:fldChar w:fldCharType="begin"/>
      </w:r>
      <w:r>
        <w:rPr>
          <w:rFonts w:eastAsia="Times New Roman"/>
        </w:rPr>
        <w:instrText xml:space="preserve">ADDIN ZOTERO_ITEM CSL_CITATION {"citationID":"jfpS9Vo6","properties":{"unsorted":false,"formattedCitation":"[6], [7], [8]","plainCitation":"[6], [7], [8]","noteIndex":0},"citationItems":[{"id":454,"uris":["http://zotero.org/users/21185978/items/QEYHMALF"],"itemData":{"id":454,"type":"article-journal","container-title":"ChemNanoMat","DOI":"10.1002/cnma.202500408","issue":"1","journalAbbreviation":"ChemNanoMat","title":"Cathode Design for High-Performance Li-S Batteries: A Brief Review","volume":"12","author":[{"family":"Usman","given":"U. M."},{"family":"Prajapati","given":"A. K."},{"family":"Bhatnagar","given":"A."},{"literal":"Shalu"}],"issued":{"date-parts":[["2026"]]}}},{"id":453,"uris":["http://zotero.org/users/21185978/items/BCCKYZ4X"],"itemData":{"id":453,"type":"article-journal","container-title":"Journal of Solid State Electrochemistry","DOI":"10.1007/s10008-023-05387-z","issue":"4","journalAbbreviation":"Journal of Solid State Electrochemistry","page":"813-839","title":"Cathode materials for lithium-sulfur battery: a review","volume":"27","author":[{"family":"Mori","given":"R."}],"issued":{"date-parts":[["2023",4]]}}},{"id":456,"uris":["http://zotero.org/users/21185978/items/ZL9TXU9J"],"itemData":{"id":456,"type":"article-journal","container-title":"Journal of Materials Chemistry A","DOI":"10.1039/D3TA05233A","journalAbbreviation":"Journal of Materials Chemistry A","page":"24651-24660","title":"A low-self-discharge high-loading polysulfide cathode design for lithium-sulfur cells","volume":"11","author":[{"family":"Wu","given":"C.-C."},{"family":"Ho","given":"Y.-C."},{"family":"Chung","given":"S.-H."}],"issued":{"date-parts":[["2023"]]}}}],"schema":"https://github.com/citation-style-language/schema/raw/master/csl-citation.json"}</w:instrText>
      </w:r>
      <w:r>
        <w:rPr>
          <w:rFonts w:eastAsia="Times New Roman"/>
        </w:rPr>
      </w:r>
      <w:r>
        <w:rPr>
          <w:rFonts w:eastAsia="Times New Roman"/>
        </w:rPr>
        <w:fldChar w:fldCharType="separate"/>
      </w:r>
      <w:r>
        <w:rPr>
          <w:rFonts w:eastAsia="Times New Roman"/>
        </w:rPr>
      </w:r>
      <w:r>
        <w:rPr/>
        <w:t>[6], [7], [8]</w:t>
      </w:r>
      <w:r>
        <w:rPr>
          <w:rFonts w:eastAsia="Times New Roman"/>
        </w:rPr>
      </w:r>
      <w:r>
        <w:rPr>
          <w:rFonts w:eastAsia="Times New Roman"/>
        </w:rPr>
        <w:fldChar w:fldCharType="end"/>
      </w:r>
      <w:r>
        <w:rPr>
          <w:rFonts w:eastAsia="Times New Roman"/>
        </w:rPr>
        <w:t xml:space="preserve">. The main critical issue of LiSB is the polysulfide shuttle effect </w:t>
      </w:r>
      <w:r>
        <w:fldChar w:fldCharType="begin"/>
      </w:r>
      <w:r>
        <w:rPr>
          <w:rFonts w:eastAsia="Times New Roman"/>
        </w:rPr>
        <w:instrText xml:space="preserve">ADDIN ZOTERO_ITEM CSL_CITATION {"citationID":"4iUjOETX","properties":{"unsorted":false,"formattedCitation":"[9]","plainCitation":"[9]","noteIndex":0},"citationItems":[{"id":460,"uris":["http://zotero.org/users/21185978/items/4YCKUPIH"],"itemData":{"id":460,"type":"article-journal","container-title":"Energy Storage Materials","DOI":"10.1016/j.ensm.2019.02.022","journalAbbreviation":"Energy Storage Materials","page":"707-732","title":"Recent advances in shuttle effect inhibition for lithium sulfur batteries","volume":"23","author":[{"family":"Ren","given":"W."},{"family":"Ma","given":"W."},{"family":"Zhang","given":"S."},{"family":"Tang","given":"B."}],"issued":{"date-parts":[["2019",12]]}}}],"schema":"https://github.com/citation-style-language/schema/raw/master/csl-citation.json"}</w:instrText>
      </w:r>
      <w:r>
        <w:rPr>
          <w:rFonts w:eastAsia="Times New Roman"/>
        </w:rPr>
      </w:r>
      <w:r>
        <w:rPr>
          <w:rFonts w:eastAsia="Times New Roman"/>
        </w:rPr>
        <w:fldChar w:fldCharType="separate"/>
      </w:r>
      <w:r>
        <w:rPr>
          <w:rFonts w:eastAsia="Times New Roman"/>
        </w:rPr>
      </w:r>
      <w:r>
        <w:rPr/>
        <w:t>[9]</w:t>
      </w:r>
      <w:r>
        <w:rPr>
          <w:rFonts w:eastAsia="Times New Roman"/>
        </w:rPr>
      </w:r>
      <w:r>
        <w:rPr>
          <w:rFonts w:eastAsia="Times New Roman"/>
        </w:rPr>
        <w:fldChar w:fldCharType="end"/>
      </w:r>
      <w:r>
        <w:rPr>
          <w:rFonts w:eastAsia="Times New Roman"/>
        </w:rPr>
        <w:t>. The Polysulfide shuttle is the process of dissolution and migration of lithium polysulfides (Li</w:t>
      </w:r>
      <w:r>
        <w:rPr>
          <w:rFonts w:eastAsia="Times New Roman"/>
          <w:vertAlign w:val="subscript"/>
        </w:rPr>
        <w:t>2</w:t>
      </w:r>
      <w:r>
        <w:rPr>
          <w:rFonts w:eastAsia="Times New Roman"/>
        </w:rPr>
        <w:t>S</w:t>
      </w:r>
      <w:r>
        <w:rPr>
          <w:rFonts w:eastAsia="Times New Roman"/>
          <w:vertAlign w:val="subscript"/>
        </w:rPr>
        <w:t>X</w:t>
      </w:r>
      <w:r>
        <w:rPr>
          <w:rFonts w:eastAsia="Times New Roman"/>
        </w:rPr>
        <w:t xml:space="preserve">, 4 ≤X ≤8 ) as intermediate species from the sulfur cathode to the lithium anode through the electrolyte. This process produces the loss of active material, low Coulombic efficiency, self-discharge, and rapid battery capacity degradation. In general, the shuttle effect proceeds through several stages: the formation of long-chain polysulfides, their release from the sulfur host, dissolution into the electrolyte, migration to the lithium anode, and leading to the formation of parasitic reactions on the anode surface </w:t>
      </w:r>
      <w:r>
        <w:fldChar w:fldCharType="begin"/>
      </w:r>
      <w:r>
        <w:rPr>
          <w:rFonts w:eastAsia="Times New Roman"/>
        </w:rPr>
        <w:instrText xml:space="preserve">ADDIN ZOTERO_ITEM CSL_CITATION {"citationID":"Ht5fNhma","properties":{"unsorted":false,"formattedCitation":"[5], [8], [10]","plainCitation":"[5], [8], [10]","noteIndex":0},"citationItems":[{"id":456,"uris":["http://zotero.org/users/21185978/items/ZL9TXU9J"],"itemData":{"id":456,"type":"article-journal","container-title":"Journal of Materials Chemistry A","DOI":"10.1039/D3TA05233A","journalAbbreviation":"Journal of Materials Chemistry A","page":"24651-24660","title":"A low-self-discharge high-loading polysulfide cathode design for lithium-sulfur cells","volume":"11","author":[{"family":"Wu","given":"C.-C."},{"family":"Ho","given":"Y.-C."},{"family":"Chung","given":"S.-H."}],"issued":{"date-parts":[["2023"]]}}},{"id":459,"uris":["http://zotero.org/users/21185978/items/696IL358"],"itemData":{"id":459,"type":"article-journal","container-title":"Journal of Energy Chemistry","DOI":"10.1016/j.jechem.2018.04.014","issue":"6","journalAbbreviation":"Journal of Energy Chemistry","page":"1555-1565","title":"Recent progress on confinement of polysulfides through physical and chemical methods","volume":"27","author":[{"family":"Li","given":"S.-Y."},{"family":"Wang","given":"W.-P."},{"family":"Duan","given":"H."},{"family":"Guo","given":"Y.-G."}],"issued":{"date-parts":[["2018",11]]}}},{"id":457,"uris":["http://zotero.org/users/21185978/items/WJVY8V8A"],"itemData":{"id":457,"type":"article-journal","container-title":"Energy Storage Materials","DOI":"10.1016/j.ensm.2025.104617","journalAbbreviation":"Energy Storage Materials","page":"104617","title":"Inside lithium–sulfur batteries: Real-time multimodal insights into structure and polysulfide dynamics","volume":"82","author":[{"family":"Khan","given":"M."}],"issued":{"date-parts":[["2025",10]]}}}],"schema":"https://github.com/citation-style-language/schema/raw/master/csl-citation.json"}</w:instrText>
      </w:r>
      <w:r>
        <w:rPr>
          <w:rFonts w:eastAsia="Times New Roman"/>
        </w:rPr>
      </w:r>
      <w:r>
        <w:rPr>
          <w:rFonts w:eastAsia="Times New Roman"/>
        </w:rPr>
        <w:fldChar w:fldCharType="separate"/>
      </w:r>
      <w:r>
        <w:rPr>
          <w:rFonts w:eastAsia="Times New Roman"/>
        </w:rPr>
      </w:r>
      <w:r>
        <w:rPr/>
        <w:t>[5], [8], [10]</w:t>
      </w:r>
      <w:r>
        <w:rPr>
          <w:rFonts w:eastAsia="Times New Roman"/>
        </w:rPr>
      </w:r>
      <w:r>
        <w:rPr>
          <w:rFonts w:eastAsia="Times New Roman"/>
        </w:rPr>
        <w:fldChar w:fldCharType="end"/>
      </w:r>
      <w:r>
        <w:rPr>
          <w:rFonts w:eastAsia="Times New Roman"/>
        </w:rPr>
        <w:t xml:space="preserve">. Operando visualization studies have also confirmed the dynamic transport of dissolved polysulfides during charge-discharge cycling as well as its direct link to capacity degradation and lithium dendrite formation in the anode battery </w:t>
      </w:r>
      <w:r>
        <w:fldChar w:fldCharType="begin"/>
      </w:r>
      <w:r>
        <w:rPr>
          <w:rFonts w:eastAsia="Times New Roman"/>
        </w:rPr>
        <w:instrText xml:space="preserve">ADDIN ZOTERO_ITEM CSL_CITATION {"citationID":"BhQnULWL","properties":{"unsorted":false,"formattedCitation":"[11]","plainCitation":"[11]","noteIndex":0},"citationItems":[{"id":487,"uris":["http://zotero.org/users/21185978/items/WMICHIBV"],"itemData":{"id":487,"type":"article-journal","abstract":", High-energy-density lithium sulfur (Li–S) batteries\nsuffer\nheavily from the polysulfide shuttle effect, a result of the dissolution\nand transport of intermediate polysulfides from the cathode, into\nthe electrolyte, and onto the anode, leading to rapid cell degradation.\nIf this primary mechanism of cell failure is to be overcome, the distribution,\ndynamics, and degree of polysulfide transport must first be understood\nin depth. In this work, operando optical fluorescence\nmicroscope imaging of optically accessible Li–S cells is shown\nto enable real-time qualitative visualization of the spatial distribution\nof lithium polysulfides, both within the electrolyte and porous cathode.\nQuantitative determinations of spatial concentration are also possible\nat a low enough concentration. The distribution throughout cycling\nis monitored, including direct observation of polysulfide shuttling\nto the anode and consequent dendrite formation. This was enabled through\nthe optimization of a selective fluorescent dye, verified to fluoresce\nproportionally with concentration of polysulfides within Li–S\ncells. This ability to directly and conveniently track the spatial\ndistribution of soluble polysulfide intermediates in Li–S battery\nelectrolytes, while the cell operates, has the potential to have a\nwidespread impact across the field, for example, by enabling the influence\nof a variety of polysulfide mitigation strategies to be assessed and\noptimized, including in this work the LiNO3 additive.","container-title":"ACS Applied Materials &amp; Interfaces","DOI":"10.1021/acsami.3c14612","ISSN":"1944-8244","issue":"16","journalAbbreviation":"ACS Appl Mater Interfaces","page":"20329-20340","PMID":"38598420","PMCID":"PMC11056927","source":"PubMed Central","title":"Illuminating Polysulfide Distribution in Lithium Sulfur Batteries; Tracking Polysulfide Shuttle Using Operando Optical Fluorescence Microscopy","volume":"16","author":[{"family":"Coke","given":"Kofi"},{"family":"Johnson","given":"Michael J."},{"family":"Robinson","given":"James B."},{"family":"Rettie","given":"Alexander J. E."},{"family":"Miller","given":"Thomas S."},{"family":"Shearing","given":"Paul R."}],"issued":{"date-parts":[["2024",4,10]]}}}],"schema":"https://github.com/citation-style-language/schema/raw/master/csl-citation.json"}</w:instrText>
      </w:r>
      <w:r>
        <w:rPr>
          <w:rFonts w:eastAsia="Times New Roman"/>
        </w:rPr>
      </w:r>
      <w:r>
        <w:rPr>
          <w:rFonts w:eastAsia="Times New Roman"/>
        </w:rPr>
        <w:fldChar w:fldCharType="separate"/>
      </w:r>
      <w:r>
        <w:rPr>
          <w:rFonts w:eastAsia="Times New Roman"/>
        </w:rPr>
      </w:r>
      <w:r>
        <w:rPr/>
        <w:t>[11]</w:t>
      </w:r>
      <w:r>
        <w:rPr>
          <w:rFonts w:eastAsia="Times New Roman"/>
        </w:rPr>
      </w:r>
      <w:r>
        <w:rPr>
          <w:rFonts w:eastAsia="Times New Roman"/>
        </w:rPr>
        <w:fldChar w:fldCharType="end"/>
      </w:r>
      <w:r>
        <w:rPr>
          <w:rFonts w:eastAsia="Times New Roman"/>
        </w:rPr>
        <w:t xml:space="preserve">, </w:t>
      </w:r>
      <w:r>
        <w:fldChar w:fldCharType="begin"/>
      </w:r>
      <w:r>
        <w:rPr>
          <w:rFonts w:eastAsia="Times New Roman"/>
        </w:rPr>
        <w:instrText xml:space="preserve">ADDIN ZOTERO_ITEM CSL_CITATION {"citationID":"weeunNgI","properties":{"unsorted":false,"formattedCitation":"[12]","plainCitation":"[12]","noteIndex":0},"citationItems":[{"id":489,"uris":["http://zotero.org/users/21185978/items/FFN9AZ8H"],"itemData":{"id":489,"type":"article-journal","abstract":"Lithium-sulfur batteries offer the highest theoretical energy density among enclosed rechargeable batteries. However, there are various issues that need to be addressed before their practical adoption, such as the dissolution of intermediate lithium polysulfides (Li2Sn) into the electrolyte solution, which causes rapid degradation of the battery. Herein, we used nuclear magnetic resonance (NMR) and in-situmagnetic resonance imaging (MRI) to visualize the dissolution of the intermediate species formed during the discharge–charge process in Li-S batteries. A strong enhancement in the MRI signal was observed when the cell was first discharged, which is associated with the dissolution of intermediate polysulfides. To determine the origin of this signal enhancement, 1H NMR spectra, T1 relaxation time, and electron spin resonance (ESR) measurements were performed on electrolyte containing polysulfides. The origin of the strong enhancement of the MRI signal by the dissoluted polysulfides is mainly attributed to the paramagnetic interaction due to the formation of S3*- and S4*- radicals in the dissoluted polysulfides. The results demonstrate that 1H MRI is an indirect and effective way to study and visualize the intermediate species formed during Li-S battery operation.","container-title":"Electrochemistry Communications","DOI":"10.1016/j.elecom.2022.107360","ISSN":"1388-2481","journalAbbreviation":"Electrochemistry Communications","page":"107360","source":"ScienceDirect","title":"Visualization of polysulfide dissolution in lithium-sulfur batteries using in-situ NMR microimaging","volume":"141","author":[{"family":"Dorai","given":"Arunkumar"},{"family":"Kawamura","given":"Junichi"},{"family":"Omata","given":"Takahisa"}],"issued":{"date-parts":[["2022",8,1]]}}}],"schema":"https://github.com/citation-style-language/schema/raw/master/csl-citation.json"}</w:instrText>
      </w:r>
      <w:r>
        <w:rPr>
          <w:rFonts w:eastAsia="Times New Roman"/>
        </w:rPr>
      </w:r>
      <w:r>
        <w:rPr>
          <w:rFonts w:eastAsia="Times New Roman"/>
        </w:rPr>
        <w:fldChar w:fldCharType="separate"/>
      </w:r>
      <w:r>
        <w:rPr>
          <w:rFonts w:eastAsia="Times New Roman"/>
        </w:rPr>
      </w:r>
      <w:r>
        <w:rPr/>
        <w:t>[12]</w:t>
      </w:r>
      <w:r>
        <w:rPr>
          <w:rFonts w:eastAsia="Times New Roman"/>
        </w:rPr>
      </w:r>
      <w:r>
        <w:rPr>
          <w:rFonts w:eastAsia="Times New Roman"/>
        </w:rPr>
        <w:fldChar w:fldCharType="end"/>
      </w:r>
      <w:r>
        <w:rPr>
          <w:rFonts w:eastAsia="Times New Roman"/>
        </w:rPr>
        <w:t xml:space="preserve">, </w:t>
      </w:r>
      <w:r>
        <w:fldChar w:fldCharType="begin"/>
      </w:r>
      <w:r>
        <w:rPr>
          <w:rFonts w:eastAsia="Times New Roman"/>
        </w:rPr>
        <w:instrText xml:space="preserve">ADDIN ZOTERO_ITEM CSL_CITATION {"citationID":"ztcRoWkN","properties":{"unsorted":false,"formattedCitation":"[13]","plainCitation":"[13]","noteIndex":0},"citationItems":[{"id":492,"uris":["http://zotero.org/users/21185978/items/LG6CVG5J"],"itemData":{"id":492,"type":"article-journal","abstract":"Rechargeable lithium–sulfur (Li–S) batteries are considered promising next-generation energy storage systems owing to their high theoretical energy density, but their application is hindered by the shuttle effect arising from dissolved lithium polysulfides (LiPSs). Herein, we design an optimized electrolyte to achieve long-term stability by employing an appropriate low-polarity solvent. A combination of diethyl ether (DEE) and 1,2-dimethoxyethane (DME) was selected to improve Li metal stability even in the presence of LiPSs. The DEE/DME electrolyte not only suppresses parasitic reactions between Li and LiPSs but also promotes uniform Li deposition. Moreover, operando optical microscopy was employed to directly visualize electrolyte stability and dendrite evolution in real time, while quantitative analysis was conducted via normalized hue index and contour image mapping. The enhanced anode stability of the DEE/DME electrolyte enabled excellent cycling performance, retaining 80.14% of its initial capacity after 300 cycles at 3 C, while maintaining superior performance under practical conditions with high sulfur loading and a low E/S ratio. These findings highlight that solvent properties critically influence Li metal stabilization in Li–S batteries and underscore the significance of solvent engineering in electrolyte design.","container-title":"Journal of Energy Chemistry","DOI":"10.1016/j.jechem.2025.10.041","ISSN":"2095-4956","journalAbbreviation":"Journal of Energy Chemistry","page":"737-749","source":"ScienceDirect","title":"Low-polarity solvent-mediated lithium metal stabilization for improved performance in lithium–sulfur batteries","volume":"114","author":[{"family":"Jung","given":"Seung-Yeon"},{"family":"Chen","given":"Yao-Peng"},{"family":"Lee","given":"Yun-Jeong"},{"family":"Kim","given":"So Hee"},{"family":"Bae","given":"Jong-Seong"},{"family":"Chen","given":"Xiang"},{"family":"Yu","given":"Seung-Ho"}],"issued":{"date-parts":[["2026",3,1]]}}}],"schema":"https://github.com/citation-style-language/schema/raw/master/csl-citation.json"}</w:instrText>
      </w:r>
      <w:r>
        <w:rPr>
          <w:rFonts w:eastAsia="Times New Roman"/>
        </w:rPr>
      </w:r>
      <w:r>
        <w:rPr>
          <w:rFonts w:eastAsia="Times New Roman"/>
        </w:rPr>
        <w:fldChar w:fldCharType="separate"/>
      </w:r>
      <w:r>
        <w:rPr>
          <w:rFonts w:eastAsia="Times New Roman"/>
        </w:rPr>
      </w:r>
      <w:r>
        <w:rPr/>
        <w:t>[13]</w:t>
      </w:r>
      <w:r>
        <w:rPr>
          <w:rFonts w:eastAsia="Times New Roman"/>
        </w:rPr>
      </w:r>
      <w:r>
        <w:rPr>
          <w:rFonts w:eastAsia="Times New Roman"/>
        </w:rPr>
        <w:fldChar w:fldCharType="end"/>
      </w:r>
      <w:r>
        <w:rPr>
          <w:rFonts w:eastAsia="Times New Roman"/>
        </w:rPr>
        <w:t xml:space="preserve">. Many mitigation strategies, such as electrode modification, electrolyte engineering, and separator design, have been developed to restrain polysulfide diffusion and increase the reversibility of the sulfur redox reaction </w:t>
      </w:r>
      <w:r>
        <w:fldChar w:fldCharType="begin"/>
      </w:r>
      <w:r>
        <w:rPr>
          <w:rFonts w:eastAsia="Times New Roman"/>
        </w:rPr>
        <w:instrText xml:space="preserve">ADDIN ZOTERO_ITEM CSL_CITATION {"citationID":"YtnurKjs","properties":{"unsorted":false,"formattedCitation":"[14]","plainCitation":"[14]","noteIndex":0},"citationItems":[{"id":472,"uris":["http://zotero.org/users/21185978/items/9J4V6I5F"],"itemData":{"id":472,"type":"article-journal","container-title":"Coordination Chemistry Reviews","DOI":"10.1016/j.ccr.2025.217220","journalAbbreviation":"Coordination Chemistry Reviews","page":"217220","title":"Strategies for inhibiting the ‘shuttle effect’ in lithium‑sulfur batteries: surface/interface modulation and bulk phase optimization","volume":"548","author":[{"family":"Zhu","given":"Z."}],"issued":{"date-parts":[["2026",2]]}}}],"schema":"https://github.com/citation-style-language/schema/raw/master/csl-citation.json"}</w:instrText>
      </w:r>
      <w:r>
        <w:rPr>
          <w:rFonts w:eastAsia="Times New Roman"/>
        </w:rPr>
      </w:r>
      <w:r>
        <w:rPr>
          <w:rFonts w:eastAsia="Times New Roman"/>
        </w:rPr>
        <w:fldChar w:fldCharType="separate"/>
      </w:r>
      <w:r>
        <w:rPr>
          <w:rFonts w:eastAsia="Times New Roman"/>
        </w:rPr>
      </w:r>
      <w:r>
        <w:rPr/>
        <w:t>[14]</w:t>
      </w:r>
      <w:r>
        <w:rPr>
          <w:rFonts w:eastAsia="Times New Roman"/>
        </w:rPr>
      </w:r>
      <w:r>
        <w:rPr>
          <w:rFonts w:eastAsia="Times New Roman"/>
        </w:rPr>
        <w:fldChar w:fldCharType="end"/>
      </w:r>
      <w:r>
        <w:rPr>
          <w:rFonts w:eastAsia="Times New Roman"/>
        </w:rPr>
        <w:t xml:space="preserve">. Overall, these issues affect the cycling and long-term stability of LiSBs and remain the main obstacles to their practical application and LiSB commercialization on a large scale. Hence, much research is focusing on developing cathode structures and host materials to increase electrical conductivity, accommodate volume expansion, and effectively inhibit the diffusion of lithium polysulfide species </w:t>
      </w:r>
      <w:r>
        <w:fldChar w:fldCharType="begin"/>
      </w:r>
      <w:r>
        <w:rPr>
          <w:rFonts w:eastAsia="Times New Roman"/>
        </w:rPr>
        <w:instrText xml:space="preserve">ADDIN ZOTERO_ITEM CSL_CITATION {"citationID":"oxvvVVCx","properties":{"unsorted":false,"formattedCitation":"[14]","plainCitation":"[14]","noteIndex":0},"citationItems":[{"id":472,"uris":["http://zotero.org/users/21185978/items/9J4V6I5F"],"itemData":{"id":472,"type":"article-journal","container-title":"Coordination Chemistry Reviews","DOI":"10.1016/j.ccr.2025.217220","journalAbbreviation":"Coordination Chemistry Reviews","page":"217220","title":"Strategies for inhibiting the ‘shuttle effect’ in lithium‑sulfur batteries: surface/interface modulation and bulk phase optimization","volume":"548","author":[{"family":"Zhu","given":"Z."}],"issued":{"date-parts":[["2026",2]]}}}],"schema":"https://github.com/citation-style-language/schema/raw/master/csl-citation.json"}</w:instrText>
      </w:r>
      <w:r>
        <w:rPr>
          <w:rFonts w:eastAsia="Times New Roman"/>
        </w:rPr>
      </w:r>
      <w:r>
        <w:rPr>
          <w:rFonts w:eastAsia="Times New Roman"/>
        </w:rPr>
        <w:fldChar w:fldCharType="separate"/>
      </w:r>
      <w:r>
        <w:rPr>
          <w:rFonts w:eastAsia="Times New Roman"/>
        </w:rPr>
      </w:r>
      <w:r>
        <w:rPr/>
        <w:t>[14]</w:t>
      </w:r>
      <w:r>
        <w:rPr>
          <w:rFonts w:eastAsia="Times New Roman"/>
        </w:rPr>
      </w:r>
      <w:r>
        <w:rPr>
          <w:rFonts w:eastAsia="Times New Roman"/>
        </w:rPr>
        <w:fldChar w:fldCharType="end"/>
      </w:r>
      <w:r>
        <w:rPr>
          <w:rFonts w:eastAsia="Times New Roman"/>
        </w:rPr>
        <w:t xml:space="preserve">. </w:t>
      </w:r>
    </w:p>
    <w:p>
      <w:pPr>
        <w:pStyle w:val="Normal"/>
        <w:jc w:val="center"/>
        <w:rPr>
          <w:rFonts w:eastAsia="Times New Roman"/>
        </w:rPr>
      </w:pPr>
      <w:r>
        <w:rPr/>
        <w:drawing>
          <wp:inline distT="0" distB="0" distL="0" distR="0">
            <wp:extent cx="5943600" cy="3830955"/>
            <wp:effectExtent l="0" t="0" r="0" b="0"/>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4"/>
                    <a:stretch>
                      <a:fillRect/>
                    </a:stretch>
                  </pic:blipFill>
                  <pic:spPr bwMode="auto">
                    <a:xfrm>
                      <a:off x="0" y="0"/>
                      <a:ext cx="5943600" cy="3830955"/>
                    </a:xfrm>
                    <a:prstGeom prst="rect">
                      <a:avLst/>
                    </a:prstGeom>
                  </pic:spPr>
                </pic:pic>
              </a:graphicData>
            </a:graphic>
          </wp:inline>
        </w:drawing>
      </w:r>
    </w:p>
    <w:p>
      <w:pPr>
        <w:pStyle w:val="Normal"/>
        <w:spacing w:lineRule="auto" w:line="360"/>
        <w:ind w:firstLine="360"/>
        <w:jc w:val="both"/>
        <w:rPr>
          <w:rFonts w:eastAsia="Times New Roman"/>
        </w:rPr>
      </w:pPr>
      <w:r>
        <w:rPr>
          <w:rFonts w:eastAsia="Times New Roman"/>
        </w:rPr>
      </w:r>
    </w:p>
    <w:p>
      <w:pPr>
        <w:pStyle w:val="Caption1"/>
        <w:jc w:val="center"/>
        <w:rPr>
          <w:b w:val="false"/>
          <w:b w:val="false"/>
          <w:bCs/>
        </w:rPr>
      </w:pPr>
      <w:r>
        <w:rPr/>
        <w:t xml:space="preserve">Figure 2 </w:t>
      </w:r>
      <w:r>
        <w:rPr>
          <w:b w:val="false"/>
          <w:bCs/>
        </w:rPr>
        <w:t>The main issues of Lithium-sulfur battery</w:t>
      </w:r>
    </w:p>
    <w:p>
      <w:pPr>
        <w:pStyle w:val="Normal"/>
        <w:rPr/>
      </w:pPr>
      <w:r>
        <w:rPr/>
      </w:r>
    </w:p>
    <w:p>
      <w:pPr>
        <w:pStyle w:val="Normal"/>
        <w:rPr/>
      </w:pPr>
      <w:r>
        <w:rPr/>
      </w:r>
    </w:p>
    <w:p>
      <w:pPr>
        <w:pStyle w:val="ListParagraph"/>
        <w:numPr>
          <w:ilvl w:val="1"/>
          <w:numId w:val="1"/>
        </w:numPr>
        <w:spacing w:lineRule="auto" w:line="360"/>
        <w:jc w:val="both"/>
        <w:rPr>
          <w:rFonts w:eastAsia="Times New Roman"/>
          <w:b/>
          <w:b/>
          <w:bCs/>
        </w:rPr>
      </w:pPr>
      <w:r>
        <w:rPr>
          <w:rFonts w:eastAsia="Times New Roman"/>
          <w:b/>
          <w:bCs/>
        </w:rPr>
        <w:t>Cathode Host Materials for Li-S Batteries</w:t>
      </w:r>
    </w:p>
    <w:p>
      <w:pPr>
        <w:pStyle w:val="Normal"/>
        <w:spacing w:lineRule="auto" w:line="360"/>
        <w:ind w:firstLine="567"/>
        <w:jc w:val="both"/>
        <w:rPr>
          <w:rFonts w:eastAsia="Times New Roman"/>
        </w:rPr>
      </w:pPr>
      <w:r>
        <w:rPr>
          <w:rFonts w:eastAsia="Times New Roman"/>
        </w:rPr>
        <w:t xml:space="preserve">To address these issues, intensive research has been conducted to develop the cathode host materials for LiSBs. Various conductive host materials have been developed, such as porous carbon, nanotube carbon (CNT), graphene-based materials, metal oxides, metal sulfides, MXene, and metal-organic frameworks (MOFs) materials to solve the low conductivity of sulfur and its discharge products. Thus, these materials address electron transport, sulfur utilization, and physical confinement for the lithium polysulfide problem </w:t>
      </w:r>
      <w:r>
        <w:fldChar w:fldCharType="begin"/>
      </w:r>
      <w:r>
        <w:rPr>
          <w:rFonts w:eastAsia="Times New Roman"/>
        </w:rPr>
        <w:instrText xml:space="preserve">ADDIN ZOTERO_ITEM CSL_CITATION {"citationID":"XXz300el","properties":{"unsorted":false,"formattedCitation":"[15], [16], [17], [18], [19]","plainCitation":"[15], [16], [17], [18], [19]","noteIndex":0},"citationItems":[{"id":465,"uris":["http://zotero.org/users/21185978/items/QI4APFCA"],"itemData":{"id":465,"type":"article-journal","container-title":"Electrochimica Acta","DOI":"10.1016/j.electacta.2020.136378","journalAbbreviation":"Electrochimica Acta","page":"136378","title":"Bimetallic MOF-derived CNTs-grafted carbon nanocages as sulfur host for high-performance lithium–sulfur batteries","volume":"349","author":[{"family":"Zhou","given":"F."}],"issued":{"date-parts":[["2020",7]]}}},{"id":464,"uris":["http://zotero.org/users/21185978/items/WCQIE43Y"],"itemData":{"id":464,"type":"article-journal","container-title":"Chemistry - A European Journal","DOI":"10.1002/chem.202303451","journalAbbreviation":"Chemistry - A European Journal","title":"Application of MXene-Based Materials for Cathode in Lithium-Sulfur Batteries","author":[{"family":"Geng","given":"X."}],"issued":{"date-parts":[["2024"]]}}},{"id":469,"uris":["http://zotero.org/users/21185978/items/N2QDN6DB"],"itemData":{"id":469,"type":"article-journal","container-title":"EnergyChem","DOI":"10.1016/j.enchem.2025.100169","issue":"5","journalAbbreviation":"EnergyChem","page":"100169","title":"An overview of solid-state lithium metal batteries: Materials, properties and challenges","volume":"7","author":[{"family":"Costa","given":"C. M."},{"family":"Macedo","given":"V. M."},{"family":"Salado","given":"M."},{"family":"Fernandes","given":"L. C."},{"family":"Zhao","given":"M."},{"family":"Lanceros-Méndez","given":"S."}],"issued":{"date-parts":[["2025",9]]}}},{"id":452,"uris":["http://zotero.org/users/21185978/items/Y32QUE9G"],"itemData":{"id":452,"type":"article-journal","container-title":"Chemical Physics","DOI":"10.1016/j.chemphys.2026.113239","journalAbbreviation":"Chemical Physics","page":"113239","title":"A study of the structure and performance enhancement of MgNb co-doped LiFePO4 based on first principles","volume":"608","author":[{"family":"Niu","given":"X."}],"issued":{"date-parts":[["2026",9]]}}},{"id":471,"uris":["http://zotero.org/users/21185978/items/GGVQ585F"],"itemData":{"id":471,"type":"article-journal","container-title":"Canadian Journal of Chemistry","DOI":"10.1139/cjc-2023-0012","journalAbbreviation":"Canadian Journal of Chemistry","title":"Development of carbon materials for sulfur cathodes in inorganic-based solid-state lithium-sulfur batteries","issued":{"date-parts":[["2023"]]}}}],"schema":"https://github.com/citation-style-language/schema/raw/master/csl-citation.json"}</w:instrText>
      </w:r>
      <w:r>
        <w:rPr>
          <w:rFonts w:eastAsia="Times New Roman"/>
        </w:rPr>
      </w:r>
      <w:r>
        <w:rPr>
          <w:rFonts w:eastAsia="Times New Roman"/>
        </w:rPr>
        <w:fldChar w:fldCharType="separate"/>
      </w:r>
      <w:r>
        <w:rPr>
          <w:rFonts w:eastAsia="Times New Roman"/>
        </w:rPr>
      </w:r>
      <w:r>
        <w:rPr/>
        <w:t>[15], [16], [17], [18], [19]</w:t>
      </w:r>
      <w:r>
        <w:rPr>
          <w:rFonts w:eastAsia="Times New Roman"/>
        </w:rPr>
      </w:r>
      <w:r>
        <w:rPr>
          <w:rFonts w:eastAsia="Times New Roman"/>
        </w:rPr>
        <w:fldChar w:fldCharType="end"/>
      </w:r>
      <w:r>
        <w:rPr>
          <w:rFonts w:eastAsia="Times New Roman"/>
        </w:rPr>
        <w:t xml:space="preserve">. Furthermore, many host materials have strong chemical interactions with the polysulfide species that suppress their dissolution and migration during the cycling process </w:t>
      </w:r>
      <w:r>
        <w:fldChar w:fldCharType="begin"/>
      </w:r>
      <w:r>
        <w:rPr>
          <w:rFonts w:eastAsia="Times New Roman"/>
        </w:rPr>
        <w:instrText xml:space="preserve">ADDIN ZOTERO_ITEM CSL_CITATION {"citationID":"qlqzV2Ve","properties":{"unsorted":false,"formattedCitation":"[10]","plainCitation":"[10]","noteIndex":0},"citationItems":[{"id":459,"uris":["http://zotero.org/users/21185978/items/696IL358"],"itemData":{"id":459,"type":"article-journal","container-title":"Journal of Energy Chemistry","DOI":"10.1016/j.jechem.2018.04.014","issue":"6","journalAbbreviation":"Journal of Energy Chemistry","page":"1555-1565","title":"Recent progress on confinement of polysulfides through physical and chemical methods","volume":"27","author":[{"family":"Li","given":"S.-Y."},{"family":"Wang","given":"W.-P."},{"family":"Duan","given":"H."},{"family":"Guo","given":"Y.-G."}],"issued":{"date-parts":[["2018",11]]}}}],"schema":"https://github.com/citation-style-language/schema/raw/master/csl-citation.json"}</w:instrText>
      </w:r>
      <w:r>
        <w:rPr>
          <w:rFonts w:eastAsia="Times New Roman"/>
        </w:rPr>
      </w:r>
      <w:r>
        <w:rPr>
          <w:rFonts w:eastAsia="Times New Roman"/>
        </w:rPr>
        <w:fldChar w:fldCharType="separate"/>
      </w:r>
      <w:r>
        <w:rPr>
          <w:rFonts w:eastAsia="Times New Roman"/>
        </w:rPr>
      </w:r>
      <w:r>
        <w:rPr/>
        <w:t>[10]</w:t>
      </w:r>
      <w:r>
        <w:rPr>
          <w:rFonts w:eastAsia="Times New Roman"/>
        </w:rPr>
      </w:r>
      <w:r>
        <w:rPr>
          <w:rFonts w:eastAsia="Times New Roman"/>
        </w:rPr>
        <w:fldChar w:fldCharType="end"/>
      </w:r>
      <w:r>
        <w:rPr>
          <w:rFonts w:eastAsia="Times New Roman"/>
        </w:rPr>
        <w:t xml:space="preserve">. </w:t>
      </w:r>
    </w:p>
    <w:p>
      <w:pPr>
        <w:pStyle w:val="Normal"/>
        <w:spacing w:lineRule="auto" w:line="360"/>
        <w:ind w:firstLine="567"/>
        <w:jc w:val="both"/>
        <w:rPr>
          <w:rFonts w:eastAsia="Times New Roman"/>
        </w:rPr>
      </w:pPr>
      <w:r>
        <w:rPr>
          <w:rFonts w:eastAsia="Times New Roman"/>
        </w:rPr>
        <w:t xml:space="preserve">The cathode host materials performance is determined by their characteristic, such as electronic, thermodynamic, and mechanical properties </w:t>
      </w:r>
      <w:r>
        <w:fldChar w:fldCharType="begin"/>
      </w:r>
      <w:r>
        <w:rPr>
          <w:rFonts w:eastAsia="Times New Roman"/>
        </w:rPr>
        <w:instrText xml:space="preserve">ADDIN ZOTERO_ITEM CSL_CITATION {"citationID":"OvcNFPh0","properties":{"unsorted":false,"formattedCitation":"[2], [7], [8], [20], [21]","plainCitation":"[2], [7], [8], [20], [21]","noteIndex":0},"citationItems":[{"id":466,"uris":["http://zotero.org/users/21185978/items/HLICHXRB"],"itemData":{"id":466,"type":"article-journal","container-title":"Journal of Energy Storage","DOI":"10.1016/j.est.2024.111419","journalAbbreviation":"Journal of Energy Storage","page":"111419","title":"Uncovering the discharge structure evolution and electrochemical performance of sulfur cathode host 2D-Fe0.89M0.11S2 (M = Ti, V)","volume":"87","author":[{"family":"Wei","given":"C.-D."},{"family":"Xue","given":"H.-T."},{"family":"Zhao","given":"Q.-S."},{"family":"Hu","given":"Y.-X."},{"family":"Tang","given":"F.-L."}],"issued":{"date-parts":[["2024",5]]}}},{"id":453,"uris":["http://zotero.org/users/21185978/items/BCCKYZ4X"],"itemData":{"id":453,"type":"article-journal","container-title":"Journal of Solid State Electrochemistry","DOI":"10.1007/s10008-023-05387-z","issue":"4","journalAbbreviation":"Journal of Solid State Electrochemistry","page":"813-839","title":"Cathode materials for lithium-sulfur battery: a review","volume":"27","author":[{"family":"Mori","given":"R."}],"issued":{"date-parts":[["2023",4]]}}},{"id":456,"uris":["http://zotero.org/users/21185978/items/ZL9TXU9J"],"itemData":{"id":456,"type":"article-journal","container-title":"Journal of Materials Chemistry A","DOI":"10.1039/D3TA05233A","journalAbbreviation":"Journal of Materials Chemistry A","page":"24651-24660","title":"A low-self-discharge high-loading polysulfide cathode design for lithium-sulfur cells","volume":"11","author":[{"family":"Wu","given":"C.-C."},{"family":"Ho","given":"Y.-C."},{"family":"Chung","given":"S.-H."}],"issued":{"date-parts":[["2023"]]}}},{"id":473,"uris":["http://zotero.org/users/21185978/items/J9B4R439"],"itemData":{"id":473,"type":"article-journal","container-title":"Materials Today Communications","DOI":"10.1016/j.mtcomm.2023.106814","journalAbbreviation":"Materials Today Communications","page":"106814","title":"Advances in the density functional theory (DFT) calculation of lithium-sulfur battery cathodes","volume":"36","author":[{"family":"Mao","given":"L."}],"issued":{"date-parts":[["2023",8]]}}},{"id":455,"uris":["http://zotero.org/users/21185978/items/PZCYW5H5"],"itemData":{"id":455,"type":"article-journal","container-title":"Chemistry - An Asian Journal","DOI":"10.1002/asia.202400099","journalAbbreviation":"Chemistry - An Asian Journal","title":"Design of coatings for sulfur-based cathode materials in lithium-sulfur batteries: a review","author":[{"family":"Cai","given":"D."}],"issued":{"date-parts":[["2024"]]}}}],"schema":"https://github.com/citation-style-language/schema/raw/master/csl-citation.json"}</w:instrText>
      </w:r>
      <w:r>
        <w:rPr>
          <w:rFonts w:eastAsia="Times New Roman"/>
        </w:rPr>
      </w:r>
      <w:r>
        <w:rPr>
          <w:rFonts w:eastAsia="Times New Roman"/>
        </w:rPr>
        <w:fldChar w:fldCharType="separate"/>
      </w:r>
      <w:r>
        <w:rPr>
          <w:rFonts w:eastAsia="Times New Roman"/>
        </w:rPr>
      </w:r>
      <w:r>
        <w:rPr/>
        <w:t>[2], [7], [8], [20], [21]</w:t>
      </w:r>
      <w:r>
        <w:rPr>
          <w:rFonts w:eastAsia="Times New Roman"/>
        </w:rPr>
      </w:r>
      <w:r>
        <w:rPr>
          <w:rFonts w:eastAsia="Times New Roman"/>
        </w:rPr>
        <w:fldChar w:fldCharType="end"/>
      </w:r>
      <w:r>
        <w:rPr>
          <w:rFonts w:eastAsia="Times New Roman"/>
        </w:rPr>
        <w:t xml:space="preserve">. Among these, band gaps represent the electronic properties that determine electron transport and sulfur redox reaction kinetics during battery cycling </w:t>
      </w:r>
      <w:r>
        <w:fldChar w:fldCharType="begin"/>
      </w:r>
      <w:r>
        <w:rPr>
          <w:rFonts w:eastAsia="Times New Roman"/>
        </w:rPr>
        <w:instrText xml:space="preserve">ADDIN ZOTERO_ITEM CSL_CITATION {"citationID":"DQgDUYEV","properties":{"unsorted":false,"formattedCitation":"[2], [22]","plainCitation":"[2], [22]","noteIndex":0},"citationItems":[{"id":467,"uris":["http://zotero.org/users/21185978/items/6SGEIE3A"],"itemData":{"id":467,"type":"article-journal","container-title":"Computational Materials Science","DOI":"10.1016/j.commatsci.2021.111040","journalAbbreviation":"Computational Materials Science","page":"111040","title":"VX (X = S, Se) as anchoring materials for lithium-sulfur batteries – A theoretical study","volume":"210","author":[{"family":"Song","given":"L."},{"family":"Zhang","given":"M."},{"family":"Cao","given":"X."},{"family":"Guo","given":"J."}],"issued":{"date-parts":[["2022",7]]}}},{"id":466,"uris":["http://zotero.org/users/21185978/items/HLICHXRB"],"itemData":{"id":466,"type":"article-journal","container-title":"Journal of Energy Storage","DOI":"10.1016/j.est.2024.111419","journalAbbreviation":"Journal of Energy Storage","page":"111419","title":"Uncovering the discharge structure evolution and electrochemical performance of sulfur cathode host 2D-Fe0.89M0.11S2 (M = Ti, V)","volume":"87","author":[{"family":"Wei","given":"C.-D."},{"family":"Xue","given":"H.-T."},{"family":"Zhao","given":"Q.-S."},{"family":"Hu","given":"Y.-X."},{"family":"Tang","given":"F.-L."}],"issued":{"date-parts":[["2024",5]]}}}],"schema":"https://github.com/citation-style-language/schema/raw/master/csl-citation.json"}</w:instrText>
      </w:r>
      <w:r>
        <w:rPr>
          <w:rFonts w:eastAsia="Times New Roman"/>
        </w:rPr>
      </w:r>
      <w:r>
        <w:rPr>
          <w:rFonts w:eastAsia="Times New Roman"/>
        </w:rPr>
        <w:fldChar w:fldCharType="separate"/>
      </w:r>
      <w:r>
        <w:rPr>
          <w:rFonts w:eastAsia="Times New Roman"/>
        </w:rPr>
      </w:r>
      <w:r>
        <w:rPr/>
        <w:t>[2], [22]</w:t>
      </w:r>
      <w:r>
        <w:rPr>
          <w:rFonts w:eastAsia="Times New Roman"/>
        </w:rPr>
      </w:r>
      <w:r>
        <w:rPr>
          <w:rFonts w:eastAsia="Times New Roman"/>
        </w:rPr>
        <w:fldChar w:fldCharType="end"/>
      </w:r>
      <w:r>
        <w:rPr>
          <w:rFonts w:eastAsia="Times New Roman"/>
        </w:rPr>
        <w:t xml:space="preserve">. The thermodynamic stability of the materials is represented by formation energy, where lower values of formation energy show higher stability of materials </w:t>
      </w:r>
      <w:r>
        <w:fldChar w:fldCharType="begin"/>
      </w:r>
      <w:r>
        <w:rPr>
          <w:rFonts w:eastAsia="Times New Roman"/>
        </w:rPr>
        <w:instrText xml:space="preserve">ADDIN ZOTERO_ITEM CSL_CITATION {"citationID":"fwwDgkBv","properties":{"unsorted":false,"formattedCitation":"[23]","plainCitation":"[23]","noteIndex":0},"citationItems":[{"id":468,"uris":["http://zotero.org/users/21185978/items/YLEM4SFX"],"itemData":{"id":468,"type":"article-journal","container-title":"Applied Surface Science","DOI":"10.1016/j.apsusc.2025.162338","journalAbbreviation":"Applied Surface Science","page":"162338","title":"Design of disordered cathode hosts for lithium-sulfur batteries using two-dimensional sulfides","volume":"688","author":[{"family":"Liu","given":"X."}],"issued":{"date-parts":[["2025",4]]}}}],"schema":"https://github.com/citation-style-language/schema/raw/master/csl-citation.json"}</w:instrText>
      </w:r>
      <w:r>
        <w:rPr>
          <w:rFonts w:eastAsia="Times New Roman"/>
        </w:rPr>
      </w:r>
      <w:r>
        <w:rPr>
          <w:rFonts w:eastAsia="Times New Roman"/>
        </w:rPr>
        <w:fldChar w:fldCharType="separate"/>
      </w:r>
      <w:r>
        <w:rPr>
          <w:rFonts w:eastAsia="Times New Roman"/>
        </w:rPr>
      </w:r>
      <w:r>
        <w:rPr/>
        <w:t>[23]</w:t>
      </w:r>
      <w:r>
        <w:rPr>
          <w:rFonts w:eastAsia="Times New Roman"/>
        </w:rPr>
      </w:r>
      <w:r>
        <w:rPr>
          <w:rFonts w:eastAsia="Times New Roman"/>
        </w:rPr>
        <w:fldChar w:fldCharType="end"/>
      </w:r>
      <w:r>
        <w:rPr>
          <w:rFonts w:eastAsia="Times New Roman"/>
        </w:rPr>
        <w:t xml:space="preserve">. The critical parameters for assessing a material’s ability to withstand compressive and shear stresses are represented by bulk and shear modulus. These properties are key to solving the significant volume changes during the lithiation and delithiation processes. Beyond these intrinsic properties, the important factor in determining the electrochemical performance of LiSB are the interaction between the cathode host and the lithium polysulfide species. This interaction can be evaluated by binding energy, which describes the energetic strength of the interaction between polysulfide species and the host material. The more negative values of binding energy indicates a stronger and more favorable interaction, reflecting a higher chemical affinity of the host toward Li. Therefore, binding energy give an information that complementary data about  electronic, thermodynamic, and mechanical properties by evaluating the interaction between lithium and the cathode host. A suitable balance between these properties is essential for designing stable host material cathode with electrochemical characteristics beneficial for LiSB. Therefore, the integrity of the structure and long-term band cycling stability problems are solved </w:t>
      </w:r>
      <w:r>
        <w:fldChar w:fldCharType="begin"/>
      </w:r>
      <w:r>
        <w:rPr>
          <w:rFonts w:eastAsia="Times New Roman"/>
        </w:rPr>
        <w:instrText xml:space="preserve">ADDIN ZOTERO_ITEM CSL_CITATION {"citationID":"tq4CeE1W","properties":{"unsorted":false,"formattedCitation":"[17]","plainCitation":"[17]","noteIndex":0},"citationItems":[{"id":469,"uris":["http://zotero.org/users/21185978/items/N2QDN6DB"],"itemData":{"id":469,"type":"article-journal","container-title":"EnergyChem","DOI":"10.1016/j.enchem.2025.100169","issue":"5","journalAbbreviation":"EnergyChem","page":"100169","title":"An overview of solid-state lithium metal batteries: Materials, properties and challenges","volume":"7","author":[{"family":"Costa","given":"C. M."},{"family":"Macedo","given":"V. M."},{"family":"Salado","given":"M."},{"family":"Fernandes","given":"L. C."},{"family":"Zhao","given":"M."},{"family":"Lanceros-Méndez","given":"S."}],"issued":{"date-parts":[["2025",9]]}}}],"schema":"https://github.com/citation-style-language/schema/raw/master/csl-citation.json"}</w:instrText>
      </w:r>
      <w:r>
        <w:rPr>
          <w:rFonts w:eastAsia="Times New Roman"/>
        </w:rPr>
      </w:r>
      <w:r>
        <w:rPr>
          <w:rFonts w:eastAsia="Times New Roman"/>
        </w:rPr>
        <w:fldChar w:fldCharType="separate"/>
      </w:r>
      <w:r>
        <w:rPr>
          <w:rFonts w:eastAsia="Times New Roman"/>
        </w:rPr>
      </w:r>
      <w:r>
        <w:rPr/>
        <w:t>[17]</w:t>
      </w:r>
      <w:r>
        <w:rPr>
          <w:rFonts w:eastAsia="Times New Roman"/>
        </w:rPr>
      </w:r>
      <w:r>
        <w:rPr>
          <w:rFonts w:eastAsia="Times New Roman"/>
        </w:rPr>
        <w:fldChar w:fldCharType="end"/>
      </w:r>
      <w:r>
        <w:rPr>
          <w:rFonts w:eastAsia="Times New Roman"/>
        </w:rPr>
        <w:t xml:space="preserve">. However, the combined influence of their electronic, thermodynamic, and mechanical properties is key to the performance of host materials. Thus, a single material is not enough to give a comprehensive evaluation. Therefore, simultaneous evaluation for screening and identifying promising cathode host materials with high conductivity, robust structural stability, and superior mechanical endurance is needed for next-generation LiSB applications. </w:t>
      </w:r>
    </w:p>
    <w:p>
      <w:pPr>
        <w:pStyle w:val="Normal"/>
        <w:spacing w:lineRule="auto" w:line="360"/>
        <w:ind w:firstLine="567"/>
        <w:jc w:val="both"/>
        <w:rPr/>
      </w:pPr>
      <w:r>
        <w:rPr>
          <w:rFonts w:eastAsia="Times New Roman"/>
        </w:rPr>
        <w:t xml:space="preserve"> </w:t>
      </w:r>
      <w:r>
        <w:rPr>
          <w:rFonts w:eastAsia="Times New Roman"/>
        </w:rPr>
        <w:t xml:space="preserve">First-principles calculations using Density Functional Theory (DFT) can predict material properties at the atomic scale </w:t>
      </w:r>
      <w:r>
        <w:fldChar w:fldCharType="begin"/>
      </w:r>
      <w:r>
        <w:rPr>
          <w:rFonts w:eastAsia="Times New Roman"/>
        </w:rPr>
        <w:instrText xml:space="preserve">ADDIN ZOTERO_ITEM CSL_CITATION {"citationID":"o0kjY42k","properties":{"unsorted":false,"formattedCitation":"[20]","plainCitation":"[20]","noteIndex":0},"citationItems":[{"id":473,"uris":["http://zotero.org/users/21185978/items/J9B4R439"],"itemData":{"id":473,"type":"article-journal","container-title":"Materials Today Communications","DOI":"10.1016/j.mtcomm.2023.106814","journalAbbreviation":"Materials Today Communications","page":"106814","title":"Advances in the density functional theory (DFT) calculation of lithium-sulfur battery cathodes","volume":"36","author":[{"family":"Mao","given":"L."}],"issued":{"date-parts":[["2023",8]]}}}],"schema":"https://github.com/citation-style-language/schema/raw/master/csl-citation.json"}</w:instrText>
      </w:r>
      <w:r>
        <w:rPr>
          <w:rFonts w:eastAsia="Times New Roman"/>
        </w:rPr>
      </w:r>
      <w:r>
        <w:rPr>
          <w:rFonts w:eastAsia="Times New Roman"/>
        </w:rPr>
        <w:fldChar w:fldCharType="separate"/>
      </w:r>
      <w:r>
        <w:rPr>
          <w:rFonts w:eastAsia="Times New Roman"/>
        </w:rPr>
      </w:r>
      <w:r>
        <w:rPr/>
        <w:t>[20]</w:t>
      </w:r>
      <w:r>
        <w:rPr>
          <w:rFonts w:eastAsia="Times New Roman"/>
        </w:rPr>
      </w:r>
      <w:r>
        <w:rPr>
          <w:rFonts w:eastAsia="Times New Roman"/>
        </w:rPr>
        <w:fldChar w:fldCharType="end"/>
      </w:r>
      <w:r>
        <w:rPr/>
        <w:t xml:space="preserve">. Thus, the target properties of this study can be obtained. However, DFT calculations to predict properties for large material databases are time-consuming and computationally expensive. To overcome these limitations, an efficient approach has emerged for rapidly discovering and screening materials. Machine learning can solve the DFT limitation by learning the relationship between crystal structures and their properties from databases or experimental datasets. With this approach, the screening of vast material candidates can be predicted rapidly before the results are evaluated with DFT, which requires expensive computational resources </w:t>
      </w:r>
      <w:r>
        <w:fldChar w:fldCharType="begin"/>
      </w:r>
      <w:r>
        <w:rPr/>
        <w:instrText xml:space="preserve">ADDIN ZOTERO_ITEM CSL_CITATION {"citationID":"4yHuk44v","properties":{"unsorted":false,"formattedCitation":"[24], [25]","plainCitation":"[24], [25]","noteIndex":0},"citationItems":[{"id":475,"uris":["http://zotero.org/users/21185978/items/LLTTHTST"],"itemData":{"id":475,"type":"article-journal","container-title":"Computational Condensed Matter","DOI":"10.1016/j.cocom.2026.e01410","journalAbbreviation":"Computational Condensed Matter","page":"e01410","title":"Machine learning-accelerated discovery of battery electrode materials for sustainable energy storage: A critical survey of DFT descriptors, benchmarked models and experimentally validated predictions in support of SDG 7 and SDG 9","volume":"48","author":[{"family":"Ragavendran","given":"V."}],"issued":{"date-parts":[["2026",10]]}}},{"id":474,"uris":["http://zotero.org/users/21185978/items/X2W79M6U"],"itemData":{"id":474,"type":"article-journal","container-title":"Energy Storage Materials","DOI":"10.1016/j.ensm.2024.103710","journalAbbreviation":"Energy Storage Materials","page":"103710","title":"Machine learning-accelerated discovery and design of electrode materials and electrolytes for lithium ion batteries","volume":"72","author":[{"family":"Xu","given":"G."}],"issued":{"date-parts":[["2024",9]]}}}],"schema":"https://github.com/citation-style-language/schema/raw/master/csl-citation.json"}</w:instrText>
      </w:r>
      <w:r>
        <w:rPr/>
      </w:r>
      <w:r>
        <w:rPr/>
        <w:fldChar w:fldCharType="separate"/>
      </w:r>
      <w:r>
        <w:rPr/>
        <w:t>[24], [25]</w:t>
      </w:r>
      <w:r>
        <w:rPr/>
      </w:r>
      <w:r>
        <w:rPr/>
        <w:fldChar w:fldCharType="end"/>
      </w:r>
      <w:r>
        <w:rPr/>
        <w:t>. Nevertheless, prevailing ML studies predominantly address isolated material properties—separating mechanical metrics from electronic or thermodynamic parameters. Such single-domain models fall short in functional material design, where target candidates must concurrently fulfill electronic, mechanical, and thermodynamic requirements. Here, we present a multi-property ML strategy that concurrently predicts the Band Gap, Formation Energy, Adsorption Energy, Bulk Modulus, and Shear Modulus within a single model architecture. Applied specifically to material interactions with Li</w:t>
      </w:r>
      <w:r>
        <w:rPr>
          <w:vertAlign w:val="subscript"/>
        </w:rPr>
        <w:t>2</w:t>
      </w:r>
      <w:r>
        <w:rPr/>
        <w:t>S in Lithium-Sulfur (Li-S) battery systems, this integrated approach bridges fundamental electronic transport with structural endurance. By co-evaluating adsorption energy to suppress polysulfide dissolution alongside mechanical moduli to endure lithiation-induced mechanical stress, this framework provides a complete toolkit for screening robust, high-performance Li-S battery materials.</w:t>
      </w:r>
    </w:p>
    <w:p>
      <w:pPr>
        <w:pStyle w:val="Normal"/>
        <w:spacing w:lineRule="auto" w:line="360"/>
        <w:ind w:firstLine="567"/>
        <w:jc w:val="both"/>
        <w:rPr/>
      </w:pPr>
      <w:r>
        <w:rPr/>
        <w:t xml:space="preserve">In this study, CGCNN was employed to predict the key physicochemical properties of cathode host material candidates, including band gap, formation energy, bulk modulus, and shear modulus. The trained model is subsequently used to accelerate screening of material candidates; thus, the computational cost associated with first-principles calculations is decreased. Furthermore, this strategy can be used to identify potential material cathodes for LiSB, and it is also a more efficient approach than screening that relies entirely on DFT calculations.  </w:t>
      </w:r>
    </w:p>
    <w:p>
      <w:pPr>
        <w:pStyle w:val="Normal"/>
        <w:spacing w:lineRule="auto" w:line="360"/>
        <w:ind w:firstLine="567"/>
        <w:jc w:val="both"/>
        <w:rPr/>
      </w:pPr>
      <w:r>
        <w:rPr/>
      </w:r>
    </w:p>
    <w:p>
      <w:pPr>
        <w:pStyle w:val="Aroa"/>
        <w:rPr>
          <w:b/>
          <w:b/>
          <w:bCs/>
        </w:rPr>
      </w:pPr>
      <w:r>
        <w:rPr>
          <w:b/>
          <w:bCs/>
        </w:rPr>
        <w:t xml:space="preserve">2. Computational Methods </w:t>
      </w:r>
    </w:p>
    <w:p>
      <w:pPr>
        <w:pStyle w:val="Normal"/>
        <w:spacing w:lineRule="auto" w:line="360" w:before="240" w:after="0"/>
        <w:jc w:val="both"/>
        <w:rPr>
          <w:rFonts w:eastAsia="Times New Roman"/>
          <w:b/>
          <w:b/>
          <w:bCs/>
        </w:rPr>
      </w:pPr>
      <w:r>
        <w:rPr>
          <w:rFonts w:eastAsia="Times New Roman"/>
          <w:b/>
          <w:bCs/>
        </w:rPr>
        <w:t xml:space="preserve">2.1 Research Workflow  </w:t>
      </w:r>
    </w:p>
    <w:p>
      <w:pPr>
        <w:pStyle w:val="Normal"/>
        <w:spacing w:lineRule="auto" w:line="360" w:before="240" w:after="0"/>
        <w:jc w:val="both"/>
        <w:rPr>
          <w:rFonts w:eastAsia="Times New Roman"/>
        </w:rPr>
      </w:pPr>
      <w:r>
        <w:rPr>
          <w:rFonts w:eastAsia="Times New Roman"/>
        </w:rPr>
        <w:t xml:space="preserve">This study employs a Crystal Graph Convolutional Neural Network to predict various properties of crystalline materials directly from their crystal structures. The main dataset is sourced from the JARVIS-DFT database, used for training and assessing the CGCNN model. Crystallographic information files (CIFs) serve as inputs, which are transformed into crystal graph representations—nodes represent atoms, and edges depict neighboring atomic interactions. The model learns structural and chemical details through convolutional processes. The workflow, illustrated in Figure 3, begins with collecting crystal structures and their properties from the JARVIS-DFT database. These CIFs are converted into crystal graphs, with atoms as nodes and interactions as edges, providing input for the CGCNN to learn directly from the crystal structures..  </w:t>
      </w:r>
    </w:p>
    <w:p>
      <w:pPr>
        <w:pStyle w:val="Normal"/>
        <w:spacing w:lineRule="auto" w:line="360" w:before="240" w:after="0"/>
        <w:ind w:left="720" w:hanging="0"/>
        <w:rPr>
          <w:rFonts w:eastAsia="Times New Roman"/>
        </w:rPr>
      </w:pPr>
      <w:r>
        <w:rPr/>
        <w:drawing>
          <wp:inline distT="0" distB="0" distL="0" distR="0">
            <wp:extent cx="5943600" cy="2870200"/>
            <wp:effectExtent l="0" t="0" r="0" b="0"/>
            <wp:docPr id="3" name="image1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3.png" descr=""/>
                    <pic:cNvPicPr>
                      <a:picLocks noChangeAspect="1" noChangeArrowheads="1"/>
                    </pic:cNvPicPr>
                  </pic:nvPicPr>
                  <pic:blipFill>
                    <a:blip r:embed="rId5"/>
                    <a:stretch>
                      <a:fillRect/>
                    </a:stretch>
                  </pic:blipFill>
                  <pic:spPr bwMode="auto">
                    <a:xfrm>
                      <a:off x="0" y="0"/>
                      <a:ext cx="5943600" cy="2870200"/>
                    </a:xfrm>
                    <a:prstGeom prst="rect">
                      <a:avLst/>
                    </a:prstGeom>
                  </pic:spPr>
                </pic:pic>
              </a:graphicData>
            </a:graphic>
          </wp:inline>
        </w:drawing>
      </w:r>
    </w:p>
    <w:p>
      <w:pPr>
        <w:pStyle w:val="Normal"/>
        <w:spacing w:lineRule="auto" w:line="360" w:before="240" w:after="0"/>
        <w:ind w:left="720" w:hanging="0"/>
        <w:jc w:val="center"/>
        <w:rPr>
          <w:rFonts w:eastAsia="Times New Roman"/>
        </w:rPr>
      </w:pPr>
      <w:r>
        <w:rPr>
          <w:rFonts w:eastAsia="Times New Roman"/>
        </w:rPr>
        <w:t>Figure 3. Proposed workflow of the Crystal Graph Convolutional Neural Network (CGCNN) framework for multi-property prediction of crystalline materials.</w:t>
      </w:r>
    </w:p>
    <w:p>
      <w:pPr>
        <w:pStyle w:val="Normal"/>
        <w:spacing w:lineRule="auto" w:line="360" w:before="240" w:after="0"/>
        <w:rPr>
          <w:rFonts w:eastAsia="Times New Roman"/>
          <w:b/>
          <w:b/>
          <w:bCs/>
        </w:rPr>
      </w:pPr>
      <w:r>
        <w:rPr>
          <w:rFonts w:eastAsia="Times New Roman"/>
          <w:b/>
          <w:bCs/>
        </w:rPr>
        <w:t xml:space="preserve">2.2 Dataset Collection </w:t>
      </w:r>
    </w:p>
    <w:p>
      <w:pPr>
        <w:pStyle w:val="Normal"/>
        <w:spacing w:lineRule="auto" w:line="360" w:before="240" w:after="0"/>
        <w:jc w:val="both"/>
        <w:rPr>
          <w:rFonts w:eastAsia="Times New Roman"/>
        </w:rPr>
      </w:pPr>
      <w:r>
        <w:rPr>
          <w:rFonts w:eastAsia="Times New Roman"/>
        </w:rPr>
        <w:t xml:space="preserve">This dataset was sourced from the Joint Automated Repository for Various Integrated Simulations (JARVIS-DFT), an open-access database offering density functional theory (DFT) calculated properties across numerous crystalline materials. It provides crystallographic data alongside physical and mechanical properties, ideal for developing data-driven models for predicting material properties. The crystallographic information files (CIF) and their associated properties were obtained from JARVIS-DFT. Each CIF details the crystal structure, including lattice parameters, atomic coordinates, atomic species, and symmetry, forming the basis for creating crystal graph representations for the CGCNN model. In this study, four properties—band gap, formation energy per atom, bulk modulus, and shear modulus—were targeted for prediction. To ensure dataset consistency and reliability, only materials with complete crystallographic data and valid values for all targets were kept; samples with missing values were excluded during preprocessing, ensuring each entry is suitable for multi-property prediction.  </w:t>
      </w:r>
    </w:p>
    <w:p>
      <w:pPr>
        <w:pStyle w:val="Normal"/>
        <w:spacing w:lineRule="auto" w:line="360" w:before="240" w:after="0"/>
        <w:jc w:val="both"/>
        <w:rPr>
          <w:rFonts w:eastAsia="Times New Roman"/>
        </w:rPr>
      </w:pPr>
      <w:r>
        <w:rPr>
          <w:rFonts w:eastAsia="Times New Roman"/>
        </w:rPr>
      </w:r>
    </w:p>
    <w:p>
      <w:pPr>
        <w:pStyle w:val="Normal"/>
        <w:spacing w:lineRule="auto" w:line="360" w:before="240" w:after="0"/>
        <w:jc w:val="both"/>
        <w:rPr>
          <w:rFonts w:eastAsia="Times New Roman"/>
        </w:rPr>
      </w:pPr>
      <w:r>
        <w:rPr>
          <w:rFonts w:eastAsia="Times New Roman"/>
        </w:rPr>
      </w:r>
    </w:p>
    <w:p>
      <w:pPr>
        <w:pStyle w:val="Normal"/>
        <w:spacing w:lineRule="auto" w:line="360" w:before="240" w:after="0"/>
        <w:jc w:val="both"/>
        <w:rPr>
          <w:rFonts w:eastAsia="Times New Roman"/>
        </w:rPr>
      </w:pPr>
      <w:r>
        <w:rPr>
          <w:rFonts w:eastAsia="Times New Roman"/>
        </w:rPr>
      </w:r>
    </w:p>
    <w:p>
      <w:pPr>
        <w:pStyle w:val="Normal"/>
        <w:spacing w:lineRule="auto" w:line="360" w:before="240" w:after="0"/>
        <w:jc w:val="both"/>
        <w:rPr>
          <w:rFonts w:eastAsia="Times New Roman"/>
        </w:rPr>
      </w:pPr>
      <w:r>
        <w:rPr>
          <w:rFonts w:eastAsia="Times New Roman"/>
        </w:rPr>
      </w:r>
    </w:p>
    <w:p>
      <w:pPr>
        <w:pStyle w:val="Normal"/>
        <w:spacing w:lineRule="auto" w:line="360" w:before="240" w:after="0"/>
        <w:jc w:val="both"/>
        <w:rPr>
          <w:rFonts w:eastAsia="Times New Roman"/>
        </w:rPr>
      </w:pPr>
      <w:r>
        <w:rPr>
          <w:rFonts w:eastAsia="Times New Roman"/>
        </w:rPr>
      </w:r>
    </w:p>
    <w:p>
      <w:pPr>
        <w:pStyle w:val="Caption1"/>
        <w:keepNext w:val="true"/>
        <w:ind w:firstLine="720"/>
        <w:rPr/>
      </w:pPr>
      <w:r>
        <w:rPr/>
        <w:t xml:space="preserve">Table </w:t>
      </w:r>
      <w:r>
        <w:rPr/>
        <w:fldChar w:fldCharType="begin"/>
      </w:r>
      <w:r>
        <w:rPr/>
        <w:instrText xml:space="preserve"> SEQ Table \* ARABIC </w:instrText>
      </w:r>
      <w:r>
        <w:rPr/>
        <w:fldChar w:fldCharType="separate"/>
      </w:r>
      <w:r>
        <w:rPr/>
        <w:t>1</w:t>
      </w:r>
      <w:r>
        <w:rPr/>
        <w:fldChar w:fldCharType="end"/>
      </w:r>
      <w:r>
        <w:rPr/>
        <w:t xml:space="preserve"> </w:t>
      </w:r>
      <w:r>
        <w:rPr>
          <w:b w:val="false"/>
          <w:bCs/>
        </w:rPr>
        <w:t>The target property of CGCNN model</w:t>
      </w:r>
    </w:p>
    <w:tbl>
      <w:tblPr>
        <w:tblStyle w:val="TableGrid"/>
        <w:tblW w:w="8306" w:type="dxa"/>
        <w:jc w:val="left"/>
        <w:tblInd w:w="720" w:type="dxa"/>
        <w:tblLayout w:type="fixed"/>
        <w:tblCellMar>
          <w:top w:w="0" w:type="dxa"/>
          <w:left w:w="108" w:type="dxa"/>
          <w:bottom w:w="0" w:type="dxa"/>
          <w:right w:w="108" w:type="dxa"/>
        </w:tblCellMar>
        <w:tblLook w:val="04a0" w:noHBand="0" w:noVBand="1" w:firstColumn="1" w:lastRow="0" w:lastColumn="0" w:firstRow="1"/>
      </w:tblPr>
      <w:tblGrid>
        <w:gridCol w:w="2769"/>
        <w:gridCol w:w="3599"/>
        <w:gridCol w:w="1938"/>
      </w:tblGrid>
      <w:tr>
        <w:trPr/>
        <w:tc>
          <w:tcPr>
            <w:tcW w:w="2769" w:type="dxa"/>
            <w:tcBorders>
              <w:left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Property</w:t>
            </w:r>
          </w:p>
        </w:tc>
        <w:tc>
          <w:tcPr>
            <w:tcW w:w="3599" w:type="dxa"/>
            <w:tcBorders>
              <w:left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Description</w:t>
            </w:r>
          </w:p>
        </w:tc>
        <w:tc>
          <w:tcPr>
            <w:tcW w:w="1938" w:type="dxa"/>
            <w:tcBorders>
              <w:left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Unit</w:t>
            </w:r>
          </w:p>
        </w:tc>
      </w:tr>
      <w:tr>
        <w:trPr/>
        <w:tc>
          <w:tcPr>
            <w:tcW w:w="2769" w:type="dxa"/>
            <w:tcBorders>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Band Gap</w:t>
            </w:r>
          </w:p>
        </w:tc>
        <w:tc>
          <w:tcPr>
            <w:tcW w:w="3599" w:type="dxa"/>
            <w:tcBorders>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Electronic band gap</w:t>
            </w:r>
          </w:p>
        </w:tc>
        <w:tc>
          <w:tcPr>
            <w:tcW w:w="1938" w:type="dxa"/>
            <w:tcBorders>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eV</w:t>
            </w:r>
          </w:p>
        </w:tc>
      </w:tr>
      <w:tr>
        <w:trPr/>
        <w:tc>
          <w:tcPr>
            <w:tcW w:w="2769" w:type="dxa"/>
            <w:tcBorders>
              <w:top w:val="nil"/>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Formation Energy</w:t>
            </w:r>
          </w:p>
        </w:tc>
        <w:tc>
          <w:tcPr>
            <w:tcW w:w="3599" w:type="dxa"/>
            <w:tcBorders>
              <w:top w:val="nil"/>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Formation energy per atom</w:t>
            </w:r>
          </w:p>
        </w:tc>
        <w:tc>
          <w:tcPr>
            <w:tcW w:w="1938" w:type="dxa"/>
            <w:tcBorders>
              <w:top w:val="nil"/>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eV/atom</w:t>
            </w:r>
          </w:p>
        </w:tc>
      </w:tr>
      <w:tr>
        <w:trPr/>
        <w:tc>
          <w:tcPr>
            <w:tcW w:w="2769" w:type="dxa"/>
            <w:tcBorders>
              <w:top w:val="nil"/>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Bulk Modulus</w:t>
            </w:r>
          </w:p>
        </w:tc>
        <w:tc>
          <w:tcPr>
            <w:tcW w:w="3599" w:type="dxa"/>
            <w:tcBorders>
              <w:top w:val="nil"/>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Resistance to uniform compression</w:t>
            </w:r>
          </w:p>
        </w:tc>
        <w:tc>
          <w:tcPr>
            <w:tcW w:w="1938" w:type="dxa"/>
            <w:tcBorders>
              <w:top w:val="nil"/>
              <w:left w:val="nil"/>
              <w:bottom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GPa</w:t>
            </w:r>
          </w:p>
        </w:tc>
      </w:tr>
      <w:tr>
        <w:trPr/>
        <w:tc>
          <w:tcPr>
            <w:tcW w:w="2769" w:type="dxa"/>
            <w:tcBorders>
              <w:top w:val="nil"/>
              <w:left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Shear Modulus</w:t>
            </w:r>
          </w:p>
        </w:tc>
        <w:tc>
          <w:tcPr>
            <w:tcW w:w="3599" w:type="dxa"/>
            <w:tcBorders>
              <w:top w:val="nil"/>
              <w:left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Resistance to shear deformation</w:t>
            </w:r>
          </w:p>
        </w:tc>
        <w:tc>
          <w:tcPr>
            <w:tcW w:w="1938" w:type="dxa"/>
            <w:tcBorders>
              <w:top w:val="nil"/>
              <w:left w:val="nil"/>
              <w:right w:val="nil"/>
            </w:tcBorders>
          </w:tcPr>
          <w:p>
            <w:pPr>
              <w:pStyle w:val="Normal"/>
              <w:widowControl w:val="false"/>
              <w:suppressAutoHyphens w:val="true"/>
              <w:spacing w:lineRule="auto" w:line="360" w:before="240" w:after="0"/>
              <w:jc w:val="center"/>
              <w:rPr>
                <w:rFonts w:ascii="Arial" w:hAnsi="Arial" w:eastAsia="Times New Roman" w:cs="Arial"/>
                <w:b/>
                <w:b/>
                <w:bCs/>
              </w:rPr>
            </w:pPr>
            <w:r>
              <w:rPr>
                <w:rFonts w:eastAsia="Times New Roman" w:cs="Arial"/>
                <w:kern w:val="2"/>
                <w:szCs w:val="24"/>
                <w:lang w:val="en-ID" w:eastAsia="en-US" w:bidi="ar-SA"/>
              </w:rPr>
              <w:t>GPa</w:t>
            </w:r>
          </w:p>
        </w:tc>
      </w:tr>
      <w:tr>
        <w:trPr/>
        <w:tc>
          <w:tcPr>
            <w:tcW w:w="2769" w:type="dxa"/>
            <w:tcBorders>
              <w:left w:val="nil"/>
              <w:bottom w:val="nil"/>
              <w:right w:val="nil"/>
            </w:tcBorders>
          </w:tcPr>
          <w:p>
            <w:pPr>
              <w:pStyle w:val="Normal"/>
              <w:widowControl w:val="false"/>
              <w:suppressAutoHyphens w:val="true"/>
              <w:spacing w:lineRule="auto" w:line="360" w:before="240" w:after="0"/>
              <w:jc w:val="both"/>
              <w:rPr>
                <w:rFonts w:eastAsia="Times New Roman"/>
                <w:b/>
                <w:b/>
                <w:bCs/>
                <w:szCs w:val="24"/>
                <w:lang w:val="zh-CN"/>
              </w:rPr>
            </w:pPr>
            <w:r>
              <w:rPr>
                <w:rFonts w:eastAsia="Times New Roman"/>
                <w:b/>
                <w:bCs/>
                <w:szCs w:val="24"/>
                <w:lang w:val="zh-CN"/>
              </w:rPr>
            </w:r>
          </w:p>
        </w:tc>
        <w:tc>
          <w:tcPr>
            <w:tcW w:w="3599" w:type="dxa"/>
            <w:tcBorders>
              <w:left w:val="nil"/>
              <w:bottom w:val="nil"/>
              <w:right w:val="nil"/>
            </w:tcBorders>
          </w:tcPr>
          <w:p>
            <w:pPr>
              <w:pStyle w:val="Normal"/>
              <w:widowControl w:val="false"/>
              <w:suppressAutoHyphens w:val="true"/>
              <w:spacing w:lineRule="auto" w:line="360" w:before="240" w:after="0"/>
              <w:jc w:val="both"/>
              <w:rPr>
                <w:rFonts w:eastAsia="Times New Roman"/>
                <w:b/>
                <w:b/>
                <w:bCs/>
                <w:szCs w:val="24"/>
                <w:lang w:val="zh-CN"/>
              </w:rPr>
            </w:pPr>
            <w:r>
              <w:rPr>
                <w:rFonts w:eastAsia="Times New Roman"/>
                <w:b/>
                <w:bCs/>
                <w:szCs w:val="24"/>
                <w:lang w:val="zh-CN"/>
              </w:rPr>
            </w:r>
          </w:p>
        </w:tc>
        <w:tc>
          <w:tcPr>
            <w:tcW w:w="1938" w:type="dxa"/>
            <w:tcBorders>
              <w:left w:val="nil"/>
              <w:bottom w:val="nil"/>
              <w:right w:val="nil"/>
            </w:tcBorders>
          </w:tcPr>
          <w:p>
            <w:pPr>
              <w:pStyle w:val="Normal"/>
              <w:widowControl w:val="false"/>
              <w:suppressAutoHyphens w:val="true"/>
              <w:spacing w:lineRule="auto" w:line="360" w:before="240" w:after="0"/>
              <w:jc w:val="both"/>
              <w:rPr>
                <w:rFonts w:eastAsia="Times New Roman"/>
                <w:b/>
                <w:b/>
                <w:bCs/>
                <w:szCs w:val="24"/>
                <w:lang w:val="zh-CN"/>
              </w:rPr>
            </w:pPr>
            <w:r>
              <w:rPr>
                <w:rFonts w:eastAsia="Times New Roman"/>
                <w:b/>
                <w:bCs/>
                <w:szCs w:val="24"/>
                <w:lang w:val="zh-CN"/>
              </w:rPr>
            </w:r>
          </w:p>
        </w:tc>
      </w:tr>
    </w:tbl>
    <w:p>
      <w:pPr>
        <w:pStyle w:val="Normal"/>
        <w:spacing w:lineRule="auto" w:line="360" w:before="240" w:after="0"/>
        <w:rPr>
          <w:rFonts w:eastAsia="Times New Roman"/>
          <w:b/>
          <w:b/>
          <w:bCs/>
        </w:rPr>
      </w:pPr>
      <w:r>
        <w:rPr>
          <w:rFonts w:eastAsia="Times New Roman"/>
          <w:b/>
          <w:bCs/>
        </w:rPr>
        <w:t>2.3 Crystal Graph Construction</w:t>
      </w:r>
    </w:p>
    <w:p>
      <w:pPr>
        <w:pStyle w:val="Normal"/>
        <w:spacing w:lineRule="auto" w:line="360" w:before="240" w:after="0"/>
        <w:ind w:hanging="0"/>
        <w:jc w:val="both"/>
        <w:rPr>
          <w:rFonts w:eastAsia="Times New Roman"/>
          <w:b/>
          <w:b/>
          <w:bCs/>
        </w:rPr>
      </w:pPr>
      <w:r>
        <w:rPr>
          <w:rFonts w:eastAsia="Times New Roman"/>
          <w:b/>
          <w:bCs/>
        </w:rPr>
        <w:tab/>
      </w:r>
      <w:r>
        <w:rPr>
          <w:rFonts w:eastAsia="Times New Roman"/>
          <w:b w:val="false"/>
          <w:bCs w:val="false"/>
        </w:rPr>
        <w:t xml:space="preserve">Among various ML approaches, graph models can learn from crystalline data. Graph-based models are fit to represent the crystal structure in mathematical expressions </w:t>
      </w:r>
      <w:r>
        <w:fldChar w:fldCharType="begin"/>
      </w:r>
      <w:r>
        <w:rPr>
          <w:b w:val="false"/>
          <w:bCs w:val="false"/>
          <w:rFonts w:eastAsia="Times New Roman"/>
        </w:rPr>
        <w:instrText xml:space="preserve">ADDIN ZOTERO_ITEM CSL_CITATION {"citationID":"QUUR2Hvd","properties":{"unsorted":false,"formattedCitation":"[26]","plainCitation":"[26]","noteIndex":0},"citationItems":[{"id":476,"uris":["http://zotero.org/users/21185978/items/477I7A7N"],"itemData":{"id":476,"type":"article-journal","container-title":"Materials Genome Engineering Advances","DOI":"10.1002/mgea.38","journalAbbreviation":"Materials Genome Engineering Advances","title":"A machine learning-based crystal graph network and its application in development of functional materials","author":[{"family":"Xu","given":"T."}],"issued":{"date-parts":[["2024"]]}}}],"schema":"https://github.com/citation-style-language/schema/raw/master/csl-citation.json"}</w:instrText>
      </w:r>
      <w:r>
        <w:rPr>
          <w:rFonts w:eastAsia="Times New Roman"/>
          <w:b w:val="false"/>
          <w:bCs w:val="false"/>
        </w:rPr>
      </w:r>
      <w:r>
        <w:rPr>
          <w:b w:val="false"/>
          <w:bCs w:val="false"/>
          <w:rFonts w:eastAsia="Times New Roman"/>
        </w:rPr>
        <w:fldChar w:fldCharType="separate"/>
      </w:r>
      <w:r>
        <w:rPr>
          <w:rFonts w:eastAsia="Times New Roman"/>
          <w:b w:val="false"/>
          <w:bCs w:val="false"/>
        </w:rPr>
        <w:t>[26]</w:t>
      </w:r>
      <w:r>
        <w:rPr>
          <w:rFonts w:eastAsia="Times New Roman"/>
          <w:b w:val="false"/>
          <w:bCs w:val="false"/>
        </w:rPr>
      </w:r>
      <w:r>
        <w:rPr>
          <w:b w:val="false"/>
          <w:bCs w:val="false"/>
          <w:rFonts w:eastAsia="Times New Roman"/>
        </w:rPr>
        <w:fldChar w:fldCharType="end"/>
      </w:r>
      <w:r>
        <w:rPr>
          <w:rFonts w:eastAsia="Times New Roman"/>
          <w:b w:val="false"/>
          <w:bCs w:val="false"/>
        </w:rPr>
        <w:t xml:space="preserve">. Types of graph-based models that can learn from crystal structure data include the Crystal Graph Convolutional Neural Network (CGCNN), where nodes represent atoms and interatomic interactions or neighbor relationships are represented as edges. Crystal Graph Convolutional Neural Networks are designed to learn structural and compositional information from crystal graph representations. CGCNN also demonstrated promising performance in predicting various material properties. Therefore, integrating CGCNN with material databases will be an efficient strategy for screening potential cathode host materials for LISBs. The graph construction from crystal structure is illustrated in Figure 4 </w:t>
      </w:r>
      <w:r>
        <w:fldChar w:fldCharType="begin"/>
      </w:r>
      <w:r>
        <w:rPr>
          <w:b w:val="false"/>
          <w:bCs w:val="false"/>
          <w:rFonts w:eastAsia="Times New Roman"/>
        </w:rPr>
        <w:instrText xml:space="preserve">ADDIN ZOTERO_ITEM CSL_CITATION {"citationID":"s7r8Vrlb","properties":{"unsorted":false,"formattedCitation":"[27]","plainCitation":"[27]","noteIndex":0},"citationItems":[{"id":477,"uris":["http://zotero.org/users/21185978/items/2NC3UKB4"],"itemData":{"id":477,"type":"article-journal","container-title":"Journal of Magnetism and Magnetic Materials","DOI":"10.1016/j.jmmm.2025.173541","journalAbbreviation":"Journal of Magnetism and Magnetic Materials","page":"173541","title":"A simple feature enriched CGCNN for predicting magnetization in transition metal compounds","volume":"633","author":[{"family":"Singh","given":"S."},{"family":"Joshi","given":"P."},{"family":"Sharma","given":"A."},{"family":"Kashyap","given":"A."}],"issued":{"date-parts":[["2025",11]]}}}],"schema":"https://github.com/citation-style-language/schema/raw/master/csl-citation.json"}</w:instrText>
      </w:r>
      <w:r>
        <w:rPr>
          <w:rFonts w:eastAsia="Times New Roman"/>
          <w:b w:val="false"/>
          <w:bCs w:val="false"/>
        </w:rPr>
      </w:r>
      <w:r>
        <w:rPr>
          <w:b w:val="false"/>
          <w:bCs w:val="false"/>
          <w:rFonts w:eastAsia="Times New Roman"/>
        </w:rPr>
        <w:fldChar w:fldCharType="separate"/>
      </w:r>
      <w:r>
        <w:rPr>
          <w:rFonts w:eastAsia="Times New Roman"/>
          <w:b w:val="false"/>
          <w:bCs w:val="false"/>
        </w:rPr>
        <w:t>[27]</w:t>
      </w:r>
      <w:r>
        <w:rPr>
          <w:rFonts w:eastAsia="Times New Roman"/>
          <w:b w:val="false"/>
          <w:bCs w:val="false"/>
        </w:rPr>
      </w:r>
      <w:r>
        <w:rPr>
          <w:b w:val="false"/>
          <w:bCs w:val="false"/>
          <w:rFonts w:eastAsia="Times New Roman"/>
        </w:rPr>
        <w:fldChar w:fldCharType="end"/>
      </w:r>
      <w:r>
        <w:rPr>
          <w:rFonts w:eastAsia="Times New Roman"/>
          <w:b w:val="false"/>
          <w:bCs w:val="false"/>
        </w:rPr>
        <w:t>.</w:t>
      </w:r>
    </w:p>
    <w:p>
      <w:pPr>
        <w:pStyle w:val="Normal"/>
        <w:spacing w:lineRule="auto" w:line="360" w:before="240" w:after="0"/>
        <w:ind w:hanging="0"/>
        <w:jc w:val="both"/>
        <w:rPr>
          <w:rFonts w:eastAsia="Times New Roman"/>
          <w:b/>
          <w:b/>
          <w:bCs/>
        </w:rPr>
      </w:pPr>
      <w:r>
        <w:rPr/>
        <w:drawing>
          <wp:inline distT="0" distB="0" distL="0" distR="0">
            <wp:extent cx="5943600" cy="347980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6"/>
                    <a:stretch>
                      <a:fillRect/>
                    </a:stretch>
                  </pic:blipFill>
                  <pic:spPr bwMode="auto">
                    <a:xfrm>
                      <a:off x="0" y="0"/>
                      <a:ext cx="5943600" cy="3479800"/>
                    </a:xfrm>
                    <a:prstGeom prst="rect">
                      <a:avLst/>
                    </a:prstGeom>
                  </pic:spPr>
                </pic:pic>
              </a:graphicData>
            </a:graphic>
          </wp:inline>
        </w:drawing>
      </w:r>
    </w:p>
    <w:p>
      <w:pPr>
        <w:pStyle w:val="Caption1"/>
        <w:spacing w:lineRule="auto" w:line="360" w:before="240" w:after="0"/>
        <w:ind w:hanging="0"/>
        <w:jc w:val="center"/>
        <w:rPr>
          <w:rFonts w:eastAsia="Times New Roman"/>
        </w:rPr>
      </w:pPr>
      <w:r>
        <w:rPr>
          <w:rFonts w:eastAsia="Times New Roman"/>
          <w:b w:val="false"/>
          <w:bCs w:val="false"/>
        </w:rPr>
        <w:t xml:space="preserve">Figure 4. </w:t>
      </w:r>
      <w:r>
        <w:rPr>
          <w:rFonts w:eastAsia="Times New Roman"/>
          <w:b w:val="false"/>
          <w:bCs/>
        </w:rPr>
        <w:t xml:space="preserve">Graph model from crystal structure illustration </w:t>
      </w:r>
    </w:p>
    <w:p>
      <w:pPr>
        <w:pStyle w:val="Normal"/>
        <w:spacing w:lineRule="auto" w:line="360" w:before="240" w:after="0"/>
        <w:ind w:hanging="0"/>
        <w:jc w:val="both"/>
        <w:rPr>
          <w:rFonts w:eastAsia="Times New Roman"/>
        </w:rPr>
      </w:pPr>
      <w:r>
        <w:rPr>
          <w:rFonts w:eastAsia="Times New Roman"/>
        </w:rPr>
        <w:t xml:space="preserve">In this study, CGCNN was employed to predict the key physicochemical properties of cathode host material candidates, including band gap, formation energy, bulk modulus, and shear modulus. The trained model is subsequently used to accelerate screening of material candidates; thus, the computational cost associated with first-principles calculations is decreased. Furthermore, this strategy can be used to identify potential material cathodes for LiSB, and it is also a more efficient approach than screening that relies entirely on DFT calculations.   </w:t>
      </w:r>
    </w:p>
    <w:p>
      <w:pPr>
        <w:pStyle w:val="Normal"/>
        <w:spacing w:lineRule="auto" w:line="360" w:before="240" w:after="0"/>
        <w:jc w:val="both"/>
        <w:rPr>
          <w:rFonts w:eastAsia="Times New Roman"/>
        </w:rPr>
      </w:pPr>
      <w:r>
        <w:rPr>
          <w:rFonts w:eastAsia="Times New Roman"/>
        </w:rPr>
        <w:t xml:space="preserve">The crystal structures obtained from the JARVIS-DFT database were transformed into graph representations following the Crystal Graph Convolutional Neural Network (CGCNN) framework. Unlike conventional machine learning approaches that rely on handcrafted descriptors, CGCNN directly utilizes the crystal structures to learn the relationship between atomic arrangements and material properties. </w:t>
      </w:r>
    </w:p>
    <w:p>
      <w:pPr>
        <w:pStyle w:val="Normal"/>
        <w:spacing w:lineRule="auto" w:line="360" w:before="240" w:after="0"/>
        <w:jc w:val="both"/>
        <w:rPr>
          <w:rFonts w:eastAsia="Times New Roman"/>
        </w:rPr>
      </w:pPr>
      <w:r>
        <w:rPr>
          <w:rFonts w:eastAsia="Times New Roman"/>
        </w:rPr>
        <w:t xml:space="preserve">Each crystal structure is modeled as an undirected graph, with nodes (vertices) representing atoms and edges indicating interactions between neighboring atoms. Each node has an atomic feature, while each edge captures the geometric relationship between atoms. This graph reconstruction maintains the crystal's chemical composition and local structure, allowing the neural network to automatically learn relevant structural features. The core convolution operation of CGCNN is illustrated in Equation (1). </w:t>
      </w:r>
    </w:p>
    <w:p>
      <w:pPr>
        <w:pStyle w:val="Normal"/>
        <w:tabs>
          <w:tab w:val="clear" w:pos="720"/>
          <w:tab w:val="center" w:pos="4680" w:leader="none"/>
          <w:tab w:val="right" w:pos="9360" w:leader="none"/>
        </w:tabs>
        <w:spacing w:lineRule="auto" w:line="360" w:before="240" w:after="0"/>
        <w:ind w:left="720" w:hanging="0"/>
        <w:rPr>
          <w:rFonts w:eastAsia="Times New Roman"/>
        </w:rPr>
      </w:pPr>
      <w:r>
        <w:rPr>
          <w:rFonts w:eastAsia="Times New Roman"/>
        </w:rPr>
        <w:tab/>
      </w:r>
      <w:r>
        <w:rPr/>
      </w:r>
      <m:oMath xmlns:m="http://schemas.openxmlformats.org/officeDocument/2006/math">
        <m:sSubSup>
          <m:e>
            <m:r>
              <w:rPr>
                <w:rFonts w:ascii="Cambria Math" w:hAnsi="Cambria Math"/>
              </w:rPr>
              <m:t xml:space="preserve">v</m:t>
            </m:r>
          </m:e>
          <m:sub>
            <m:r>
              <w:rPr>
                <w:rFonts w:ascii="Cambria Math" w:hAnsi="Cambria Math"/>
              </w:rPr>
              <m:t xml:space="preserve">i</m:t>
            </m:r>
          </m:sub>
          <m: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sup>
        </m:sSubSup>
        <m:r>
          <w:rPr>
            <w:rFonts w:ascii="Cambria Math" w:hAnsi="Cambria Math"/>
          </w:rPr>
          <m:t xml:space="preserve">=</m:t>
        </m:r>
        <m:sSubSup>
          <m:e>
            <m:r>
              <w:rPr>
                <w:rFonts w:ascii="Cambria Math" w:hAnsi="Cambria Math"/>
              </w:rPr>
              <m:t xml:space="preserve">v</m:t>
            </m:r>
          </m:e>
          <m:sub>
            <m:r>
              <w:rPr>
                <w:rFonts w:ascii="Cambria Math" w:hAnsi="Cambria Math"/>
              </w:rPr>
              <m:t xml:space="preserve">i</m:t>
            </m:r>
          </m:sub>
          <m:sup>
            <m:d>
              <m:dPr>
                <m:begChr m:val="("/>
                <m:endChr m:val=")"/>
              </m:dPr>
              <m:e>
                <m:r>
                  <w:rPr>
                    <w:rFonts w:ascii="Cambria Math" w:hAnsi="Cambria Math"/>
                  </w:rPr>
                  <m:t xml:space="preserve">t</m:t>
                </m:r>
              </m:e>
            </m:d>
          </m:sup>
        </m:sSubSup>
        <m:r>
          <w:rPr>
            <w:rFonts w:ascii="Cambria Math" w:hAnsi="Cambria Math"/>
          </w:rPr>
          <m:t xml:space="preserve">+</m:t>
        </m:r>
        <m:nary>
          <m:naryPr>
            <m:chr m:val="∑"/>
            <m:supHide m:val="1"/>
          </m:naryPr>
          <m:sub>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k</m:t>
                </m:r>
              </m:e>
            </m:d>
          </m:sub>
          <m:sup/>
          <m:e>
            <m:r>
              <w:rPr>
                <w:rFonts w:ascii="Cambria Math" w:hAnsi="Cambria Math"/>
              </w:rPr>
              <m:t xml:space="preserve">σ</m:t>
            </m:r>
            <m:d>
              <m:dPr>
                <m:begChr m:val="("/>
                <m:endChr m:val=")"/>
              </m:dPr>
              <m:e>
                <m:sSubSup>
                  <m:e>
                    <m:r>
                      <w:rPr>
                        <w:rFonts w:ascii="Cambria Math" w:hAnsi="Cambria Math"/>
                      </w:rPr>
                      <m:t xml:space="preserve">z</m:t>
                    </m:r>
                  </m:e>
                  <m:sub>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k</m:t>
                    </m:r>
                  </m:sub>
                  <m:sup>
                    <m:d>
                      <m:dPr>
                        <m:begChr m:val="("/>
                        <m:endChr m:val=")"/>
                      </m:dPr>
                      <m:e>
                        <m:r>
                          <w:rPr>
                            <w:rFonts w:ascii="Cambria Math" w:hAnsi="Cambria Math"/>
                          </w:rPr>
                          <m:t xml:space="preserve">t</m:t>
                        </m:r>
                      </m:e>
                    </m:d>
                  </m:sup>
                </m:sSubSup>
                <m:sSubSup>
                  <m:e>
                    <m:r>
                      <w:rPr>
                        <w:rFonts w:ascii="Cambria Math" w:hAnsi="Cambria Math"/>
                      </w:rPr>
                      <m:t xml:space="preserve">W</m:t>
                    </m:r>
                  </m:e>
                  <m:sub>
                    <m:r>
                      <w:rPr>
                        <w:rFonts w:ascii="Cambria Math" w:hAnsi="Cambria Math"/>
                      </w:rPr>
                      <m:t xml:space="preserve">f</m:t>
                    </m:r>
                  </m:sub>
                  <m:sup>
                    <m:d>
                      <m:dPr>
                        <m:begChr m:val="("/>
                        <m:endChr m:val=")"/>
                      </m:dPr>
                      <m:e>
                        <m:r>
                          <w:rPr>
                            <w:rFonts w:ascii="Cambria Math" w:hAnsi="Cambria Math"/>
                          </w:rPr>
                          <m:t xml:space="preserve">t</m:t>
                        </m:r>
                      </m:e>
                    </m:d>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f</m:t>
                    </m:r>
                  </m:sub>
                  <m:sup>
                    <m:d>
                      <m:dPr>
                        <m:begChr m:val="("/>
                        <m:endChr m:val=")"/>
                      </m:dPr>
                      <m:e>
                        <m:r>
                          <w:rPr>
                            <w:rFonts w:ascii="Cambria Math" w:hAnsi="Cambria Math"/>
                          </w:rPr>
                          <m:t xml:space="preserve">t</m:t>
                        </m:r>
                      </m:e>
                    </m:d>
                  </m:sup>
                </m:sSubSup>
              </m:e>
            </m:d>
            <m:r>
              <w:rPr>
                <w:rFonts w:ascii="Cambria Math" w:hAnsi="Cambria Math"/>
              </w:rPr>
              <m:t xml:space="preserve">⊙</m:t>
            </m:r>
            <m:r>
              <w:rPr>
                <w:rFonts w:ascii="Cambria Math" w:hAnsi="Cambria Math"/>
              </w:rPr>
              <m:t xml:space="preserve">g</m:t>
            </m:r>
            <m:d>
              <m:dPr>
                <m:begChr m:val="("/>
                <m:endChr m:val=")"/>
              </m:dPr>
              <m:e>
                <m:sSubSup>
                  <m:e>
                    <m:r>
                      <w:rPr>
                        <w:rFonts w:ascii="Cambria Math" w:hAnsi="Cambria Math"/>
                      </w:rPr>
                      <m:t xml:space="preserve">z</m:t>
                    </m:r>
                  </m:e>
                  <m:sub>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k</m:t>
                    </m:r>
                  </m:sub>
                  <m:sup>
                    <m:d>
                      <m:dPr>
                        <m:begChr m:val="("/>
                        <m:endChr m:val=")"/>
                      </m:dPr>
                      <m:e>
                        <m:r>
                          <w:rPr>
                            <w:rFonts w:ascii="Cambria Math" w:hAnsi="Cambria Math"/>
                          </w:rPr>
                          <m:t xml:space="preserve">t</m:t>
                        </m:r>
                      </m:e>
                    </m:d>
                  </m:sup>
                </m:sSubSup>
                <m:sSubSup>
                  <m:e>
                    <m:r>
                      <w:rPr>
                        <w:rFonts w:ascii="Cambria Math" w:hAnsi="Cambria Math"/>
                      </w:rPr>
                      <m:t xml:space="preserve">W</m:t>
                    </m:r>
                  </m:e>
                  <m:sub>
                    <m:r>
                      <w:rPr>
                        <w:rFonts w:ascii="Cambria Math" w:hAnsi="Cambria Math"/>
                      </w:rPr>
                      <m:t xml:space="preserve">s</m:t>
                    </m:r>
                  </m:sub>
                  <m:sup>
                    <m:d>
                      <m:dPr>
                        <m:begChr m:val="("/>
                        <m:endChr m:val=")"/>
                      </m:dPr>
                      <m:e>
                        <m:r>
                          <w:rPr>
                            <w:rFonts w:ascii="Cambria Math" w:hAnsi="Cambria Math"/>
                          </w:rPr>
                          <m:t xml:space="preserve">t</m:t>
                        </m:r>
                      </m:e>
                    </m:d>
                  </m:sup>
                </m:sSubSup>
                <m:r>
                  <w:rPr>
                    <w:rFonts w:ascii="Cambria Math" w:hAnsi="Cambria Math"/>
                  </w:rPr>
                  <m:t xml:space="preserve">+</m:t>
                </m:r>
                <m:sSubSup>
                  <m:e>
                    <m:r>
                      <w:rPr>
                        <w:rFonts w:ascii="Cambria Math" w:hAnsi="Cambria Math"/>
                      </w:rPr>
                      <m:t xml:space="preserve">b</m:t>
                    </m:r>
                  </m:e>
                  <m:sub>
                    <m:r>
                      <w:rPr>
                        <w:rFonts w:ascii="Cambria Math" w:hAnsi="Cambria Math"/>
                      </w:rPr>
                      <m:t xml:space="preserve">s</m:t>
                    </m:r>
                  </m:sub>
                  <m:sup>
                    <m:d>
                      <m:dPr>
                        <m:begChr m:val="("/>
                        <m:endChr m:val=")"/>
                      </m:dPr>
                      <m:e>
                        <m:r>
                          <w:rPr>
                            <w:rFonts w:ascii="Cambria Math" w:hAnsi="Cambria Math"/>
                          </w:rPr>
                          <m:t xml:space="preserve">t</m:t>
                        </m:r>
                      </m:e>
                    </m:d>
                  </m:sup>
                </m:sSubSup>
              </m:e>
            </m:d>
          </m:e>
        </m:nary>
      </m:oMath>
      <w:r>
        <w:rPr>
          <w:rFonts w:eastAsia="Times New Roman"/>
        </w:rPr>
        <w:tab/>
        <w:t>(1)</w:t>
      </w:r>
    </w:p>
    <w:p>
      <w:pPr>
        <w:pStyle w:val="Normal"/>
        <w:tabs>
          <w:tab w:val="clear" w:pos="720"/>
          <w:tab w:val="center" w:pos="4680" w:leader="none"/>
          <w:tab w:val="right" w:pos="9360" w:leader="none"/>
        </w:tabs>
        <w:spacing w:lineRule="auto" w:line="360" w:before="240" w:after="0"/>
        <w:jc w:val="both"/>
        <w:rPr>
          <w:rFonts w:eastAsia="Times New Roman"/>
        </w:rPr>
      </w:pPr>
      <w:r>
        <w:rPr>
          <w:rFonts w:eastAsia="Times New Roman"/>
        </w:rPr>
        <w:t xml:space="preserve">Where </w:t>
      </w:r>
      <w:r>
        <w:rPr/>
      </w:r>
      <m:oMath xmlns:m="http://schemas.openxmlformats.org/officeDocument/2006/math">
        <m:sSubSup>
          <m:e>
            <m:r>
              <w:rPr>
                <w:rFonts w:ascii="Cambria Math" w:hAnsi="Cambria Math"/>
              </w:rPr>
              <m:t xml:space="preserve">v</m:t>
            </m:r>
          </m:e>
          <m:sub>
            <m:r>
              <w:rPr>
                <w:rFonts w:ascii="Cambria Math" w:hAnsi="Cambria Math"/>
              </w:rPr>
              <m:t xml:space="preserve">i</m:t>
            </m:r>
          </m:sub>
          <m:sup>
            <m:d>
              <m:dPr>
                <m:begChr m:val="("/>
                <m:endChr m:val=")"/>
              </m:dPr>
              <m:e>
                <m:r>
                  <w:rPr>
                    <w:rFonts w:ascii="Cambria Math" w:hAnsi="Cambria Math"/>
                  </w:rPr>
                  <m:t xml:space="preserve">t</m:t>
                </m:r>
              </m:e>
            </m:d>
          </m:sup>
        </m:sSubSup>
      </m:oMath>
      <w:r>
        <w:rPr>
          <w:rFonts w:eastAsia="Times New Roman"/>
        </w:rPr>
        <w:t xml:space="preserve"> is the representation of atom (node) </w:t>
      </w:r>
      <w:r>
        <w:rPr/>
      </w:r>
      <m:oMath xmlns:m="http://schemas.openxmlformats.org/officeDocument/2006/math">
        <m:r>
          <w:rPr>
            <w:rFonts w:ascii="Cambria Math" w:hAnsi="Cambria Math"/>
          </w:rPr>
          <m:t xml:space="preserve">i</m:t>
        </m:r>
      </m:oMath>
      <w:r>
        <w:rPr>
          <w:rFonts w:eastAsia="Times New Roman"/>
        </w:rPr>
        <w:t xml:space="preserve"> at layer </w:t>
      </w:r>
      <w:r>
        <w:rPr/>
      </w:r>
      <m:oMath xmlns:m="http://schemas.openxmlformats.org/officeDocument/2006/math">
        <m:r>
          <w:rPr>
            <w:rFonts w:ascii="Cambria Math" w:hAnsi="Cambria Math"/>
          </w:rPr>
          <m:t xml:space="preserve">t</m:t>
        </m:r>
      </m:oMath>
      <w:r>
        <w:rPr>
          <w:rFonts w:eastAsia="Times New Roman"/>
        </w:rPr>
        <w:t xml:space="preserve">, </w:t>
      </w:r>
      <w:r>
        <w:rPr/>
      </w:r>
      <m:oMath xmlns:m="http://schemas.openxmlformats.org/officeDocument/2006/math">
        <m:sSubSup>
          <m:e>
            <m:r>
              <w:rPr>
                <w:rFonts w:ascii="Cambria Math" w:hAnsi="Cambria Math"/>
              </w:rPr>
              <m:t xml:space="preserve">v</m:t>
            </m:r>
          </m:e>
          <m:sub>
            <m:r>
              <w:rPr>
                <w:rFonts w:ascii="Cambria Math" w:hAnsi="Cambria Math"/>
              </w:rPr>
              <m:t xml:space="preserve">i</m:t>
            </m:r>
          </m:sub>
          <m: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sup>
        </m:sSubSup>
      </m:oMath>
      <w:r>
        <w:rPr>
          <w:rFonts w:eastAsia="Times New Roman"/>
        </w:rPr>
        <w:t xml:space="preserve">, </w:t>
      </w:r>
      <w:r>
        <w:rPr/>
      </w:r>
      <m:oMath xmlns:m="http://schemas.openxmlformats.org/officeDocument/2006/math">
        <m:sSubSup>
          <m:e>
            <m:r>
              <w:rPr>
                <w:rFonts w:ascii="Cambria Math" w:hAnsi="Cambria Math"/>
              </w:rPr>
              <m:t xml:space="preserve">v</m:t>
            </m:r>
          </m:e>
          <m:sub>
            <m:r>
              <w:rPr>
                <w:rFonts w:ascii="Cambria Math" w:hAnsi="Cambria Math"/>
              </w:rPr>
              <m:t xml:space="preserve">i</m:t>
            </m:r>
          </m:sub>
          <m:sup>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1</m:t>
                </m:r>
              </m:e>
            </m:d>
          </m:sup>
        </m:sSubSup>
      </m:oMath>
      <w:r>
        <w:rPr>
          <w:rFonts w:eastAsia="Times New Roman"/>
        </w:rPr>
        <w:t xml:space="preserve"> is the updated feature of representation of atom </w:t>
      </w:r>
      <w:r>
        <w:rPr/>
      </w:r>
      <m:oMath xmlns:m="http://schemas.openxmlformats.org/officeDocument/2006/math">
        <m:r>
          <w:rPr>
            <w:rFonts w:ascii="Cambria Math" w:hAnsi="Cambria Math"/>
          </w:rPr>
          <m:t xml:space="preserve">i</m:t>
        </m:r>
      </m:oMath>
      <w:r>
        <w:rPr>
          <w:rFonts w:eastAsia="Times New Roman"/>
        </w:rPr>
        <w:t xml:space="preserve"> at layer </w:t>
      </w:r>
      <w:r>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1</m:t>
        </m:r>
      </m:oMath>
      <w:r>
        <w:rPr>
          <w:rFonts w:eastAsia="Times New Roman"/>
        </w:rPr>
        <w:t xml:space="preserve">, </w:t>
      </w:r>
      <w:r>
        <w:rPr/>
      </w:r>
      <m:oMath xmlns:m="http://schemas.openxmlformats.org/officeDocument/2006/math">
        <m:sSubSup>
          <m:e>
            <m:r>
              <w:rPr>
                <w:rFonts w:ascii="Cambria Math" w:hAnsi="Cambria Math"/>
              </w:rPr>
              <m:t xml:space="preserve">z</m:t>
            </m:r>
          </m:e>
          <m:sub>
            <m:d>
              <m:dPr>
                <m:begChr m:val="("/>
                <m:endChr m:val=")"/>
              </m:dPr>
              <m:e>
                <m:r>
                  <w:rPr>
                    <w:rFonts w:ascii="Cambria Math" w:hAnsi="Cambria Math"/>
                  </w:rPr>
                  <m:t xml:space="preserve">i</m:t>
                </m:r>
                <m:r>
                  <w:rPr>
                    <w:rFonts w:ascii="Cambria Math" w:hAnsi="Cambria Math"/>
                  </w:rPr>
                  <m:t xml:space="preserve">,</m:t>
                </m:r>
                <m:r>
                  <w:rPr>
                    <w:rFonts w:ascii="Cambria Math" w:hAnsi="Cambria Math"/>
                  </w:rPr>
                  <m:t xml:space="preserve">j</m:t>
                </m:r>
              </m:e>
            </m:d>
            <m:r>
              <w:rPr>
                <w:rFonts w:ascii="Cambria Math" w:hAnsi="Cambria Math"/>
              </w:rPr>
              <m:t xml:space="preserve">k</m:t>
            </m:r>
          </m:sub>
          <m:sup>
            <m:d>
              <m:dPr>
                <m:begChr m:val="("/>
                <m:endChr m:val=")"/>
              </m:dPr>
              <m:e>
                <m:r>
                  <w:rPr>
                    <w:rFonts w:ascii="Cambria Math" w:hAnsi="Cambria Math"/>
                  </w:rPr>
                  <m:t xml:space="preserve">t</m:t>
                </m:r>
              </m:e>
            </m:d>
          </m:sup>
        </m:sSubSup>
      </m:oMath>
      <w:r>
        <w:rPr>
          <w:rFonts w:eastAsia="Times New Roman"/>
        </w:rPr>
        <w:t xml:space="preserve"> is the combined atom and edge features, </w:t>
      </w:r>
      <w:r>
        <w:rPr/>
      </w:r>
      <m:oMath xmlns:m="http://schemas.openxmlformats.org/officeDocument/2006/math">
        <m:r>
          <w:rPr>
            <w:rFonts w:ascii="Cambria Math" w:hAnsi="Cambria Math"/>
          </w:rPr>
          <m:t xml:space="preserve">W</m:t>
        </m:r>
      </m:oMath>
      <w:r>
        <w:rPr>
          <w:rFonts w:eastAsia="Times New Roman"/>
        </w:rPr>
        <w:t xml:space="preserve">is learnable weight matrices, </w:t>
      </w:r>
      <w:r>
        <w:rPr/>
      </w:r>
      <m:oMath xmlns:m="http://schemas.openxmlformats.org/officeDocument/2006/math">
        <m:r>
          <w:rPr>
            <w:rFonts w:ascii="Cambria Math" w:hAnsi="Cambria Math"/>
          </w:rPr>
          <m:t xml:space="preserve">b</m:t>
        </m:r>
      </m:oMath>
      <w:r>
        <w:rPr>
          <w:rFonts w:eastAsia="Times New Roman"/>
        </w:rPr>
        <w:t xml:space="preserve"> is bias terms,  </w:t>
      </w:r>
      <w:r>
        <w:rPr/>
      </w:r>
      <m:oMath xmlns:m="http://schemas.openxmlformats.org/officeDocument/2006/math">
        <m:r>
          <w:rPr>
            <w:rFonts w:ascii="Cambria Math" w:hAnsi="Cambria Math"/>
          </w:rPr>
          <m:t xml:space="preserve">σ</m:t>
        </m:r>
      </m:oMath>
      <w:r>
        <w:rPr>
          <w:rFonts w:eastAsia="Times New Roman"/>
        </w:rPr>
        <w:t xml:space="preserve"> is sigmoid activation function, </w:t>
      </w:r>
      <w:r>
        <w:rPr/>
      </w:r>
      <m:oMath xmlns:m="http://schemas.openxmlformats.org/officeDocument/2006/math">
        <m:r>
          <w:rPr>
            <w:rFonts w:ascii="Cambria Math" w:hAnsi="Cambria Math"/>
          </w:rPr>
          <m:t xml:space="preserve">g</m:t>
        </m:r>
      </m:oMath>
      <w:r>
        <w:rPr>
          <w:rFonts w:eastAsia="Times New Roman"/>
        </w:rPr>
        <w:t xml:space="preserve"> is non linear activation function, </w:t>
      </w:r>
      <w:r>
        <w:rPr/>
      </w:r>
      <m:oMath xmlns:m="http://schemas.openxmlformats.org/officeDocument/2006/math">
        <m:r>
          <w:rPr>
            <w:rFonts w:ascii="Cambria Math" w:hAnsi="Cambria Math"/>
          </w:rPr>
          <m:t xml:space="preserve">⊙</m:t>
        </m:r>
      </m:oMath>
      <w:r>
        <w:rPr>
          <w:rFonts w:eastAsia="Times New Roman"/>
        </w:rPr>
        <w:t xml:space="preserve"> is element multiplication, </w:t>
      </w:r>
      <w:r>
        <w:rPr/>
      </w:r>
      <m:oMath xmlns:m="http://schemas.openxmlformats.org/officeDocument/2006/math">
        <m:nary>
          <m:naryPr>
            <m:chr m:val="∑"/>
            <m:supHide m:val="1"/>
          </m:naryPr>
          <m:sub>
            <m:d>
              <m:dPr>
                <m:begChr m:val="("/>
                <m:endChr m:val=")"/>
              </m:dPr>
              <m:e>
                <m:r>
                  <w:rPr>
                    <w:rFonts w:ascii="Cambria Math" w:hAnsi="Cambria Math"/>
                  </w:rPr>
                  <m:t xml:space="preserve">j</m:t>
                </m:r>
                <m:r>
                  <w:rPr>
                    <w:rFonts w:ascii="Cambria Math" w:hAnsi="Cambria Math"/>
                  </w:rPr>
                  <m:t xml:space="preserve">,</m:t>
                </m:r>
                <m:r>
                  <w:rPr>
                    <w:rFonts w:ascii="Cambria Math" w:hAnsi="Cambria Math"/>
                  </w:rPr>
                  <m:t xml:space="preserve">k</m:t>
                </m:r>
              </m:e>
            </m:d>
          </m:sub>
          <m:sup/>
          <m:e/>
        </m:nary>
      </m:oMath>
      <w:r>
        <w:rPr>
          <w:rFonts w:eastAsia="Times New Roman"/>
        </w:rPr>
        <w:t xml:space="preserve"> is the aggregation of information from all neighboring atoms </w:t>
      </w:r>
    </w:p>
    <w:p>
      <w:pPr>
        <w:pStyle w:val="Normal"/>
        <w:spacing w:lineRule="auto" w:line="360" w:before="240" w:after="0"/>
        <w:jc w:val="both"/>
        <w:rPr>
          <w:rFonts w:eastAsia="Times New Roman"/>
        </w:rPr>
      </w:pPr>
      <w:r>
        <w:rPr>
          <w:rFonts w:eastAsia="Times New Roman"/>
        </w:rPr>
        <w:t>To construct the crystal graph, neighboring atoms were identified by using the nearest neighbor searching algorithm in Pymatgen library. For every atom, a fixed number of nearest neighboring atoms was selected to ensure a consistent graph topology across different crystal structures. The resulting graph was subsequently used as the input to the CGCNN model for feature learning and multi-property prediction.</w:t>
      </w:r>
    </w:p>
    <w:p>
      <w:pPr>
        <w:pStyle w:val="Normal"/>
        <w:spacing w:lineRule="auto" w:line="360" w:before="240" w:after="0"/>
        <w:jc w:val="both"/>
        <w:rPr>
          <w:rFonts w:eastAsia="Times New Roman"/>
        </w:rPr>
      </w:pPr>
      <w:r>
        <w:rPr>
          <w:rFonts w:eastAsia="Times New Roman"/>
        </w:rPr>
      </w:r>
    </w:p>
    <w:p>
      <w:pPr>
        <w:pStyle w:val="Normal"/>
        <w:spacing w:lineRule="auto" w:line="360" w:before="240" w:after="0"/>
        <w:rPr>
          <w:rFonts w:eastAsia="Times New Roman"/>
          <w:b/>
          <w:b/>
          <w:bCs/>
        </w:rPr>
      </w:pPr>
      <w:r>
        <w:rPr>
          <w:rFonts w:eastAsia="Times New Roman"/>
          <w:b/>
          <w:bCs/>
        </w:rPr>
        <w:t xml:space="preserve">2.4 Crystal Graph Convolutional Neural Network </w:t>
      </w:r>
    </w:p>
    <w:p>
      <w:pPr>
        <w:pStyle w:val="Normal"/>
        <w:spacing w:lineRule="auto" w:line="360" w:before="240" w:after="0"/>
        <w:jc w:val="both"/>
        <w:rPr>
          <w:rFonts w:eastAsia="Times New Roman"/>
        </w:rPr>
      </w:pPr>
      <w:r>
        <w:rPr>
          <w:rFonts w:eastAsia="Times New Roman"/>
        </w:rPr>
        <w:t xml:space="preserve">The crystal graphs generated in the previous stage were used as inputs for the Crystal Graph Convolutional Neural Network (CGCNN). The proposed model consists of four main components: an embedding layer, graph convolution layers, a global pooling layer, and fully connected layers. First, the feature space is suitable for representation of each atom by aggregating information from its neighbouring atoms, allowing the model to capture local atomic environments and structural characteristics.  </w:t>
      </w:r>
    </w:p>
    <w:p>
      <w:pPr>
        <w:pStyle w:val="Normal"/>
        <w:spacing w:lineRule="auto" w:line="360" w:before="240" w:after="0"/>
        <w:jc w:val="both"/>
        <w:rPr>
          <w:rFonts w:eastAsia="Times New Roman"/>
        </w:rPr>
      </w:pPr>
      <w:r>
        <w:rPr>
          <w:rFonts w:eastAsia="Times New Roman"/>
        </w:rPr>
        <w:t xml:space="preserve">After the convolution process, a global pooling layer combines the atom-level features into a single vector representing the entire crystal. This crystal-level representation is then passed to the fully connected layers, which perform multi-output regression that can predict the band gap, formation energy, bulk modulus, and shear modulus simultaneously.   </w:t>
      </w:r>
    </w:p>
    <w:p>
      <w:pPr>
        <w:pStyle w:val="Normal"/>
        <w:spacing w:lineRule="auto" w:line="360" w:before="240" w:after="0"/>
        <w:jc w:val="both"/>
        <w:rPr>
          <w:rFonts w:eastAsia="Times New Roman"/>
          <w:b/>
          <w:b/>
          <w:bCs/>
        </w:rPr>
      </w:pPr>
      <w:r>
        <w:rPr>
          <w:rFonts w:eastAsia="Times New Roman"/>
          <w:b/>
          <w:bCs/>
        </w:rPr>
        <w:t xml:space="preserve">2.5 Model Training </w:t>
      </w:r>
    </w:p>
    <w:p>
      <w:pPr>
        <w:pStyle w:val="Normal"/>
        <w:spacing w:lineRule="auto" w:line="360" w:before="240" w:after="0"/>
        <w:jc w:val="both"/>
        <w:rPr>
          <w:rFonts w:eastAsia="Times New Roman"/>
        </w:rPr>
      </w:pPr>
      <w:r>
        <w:rPr>
          <w:rFonts w:eastAsia="Times New Roman"/>
        </w:rPr>
        <w:t>Before training, the dataset was randomly split into training, validation, and testing subsets in an 80%, 10%, and 10% ratio. The training set was used to optimize the CGCNN model parameters, while the validation set helped tune hyperparameters and monitor convergence. The testing set was kept aside to evaluate the final model's predictive performance. The model was trained with the Adam optimizer and the Smooth L1 loss function, which offers stable optimization and lessens the impact of outliers. During training, the parameters were updated through backpropagation to reduce errors in predicting four target properties. The initial learning rate, batch size, and number of epochs were chosen empirically to maximize prediction accuracy.</w:t>
      </w:r>
    </w:p>
    <w:p>
      <w:pPr>
        <w:pStyle w:val="Normal"/>
        <w:spacing w:lineRule="auto" w:line="360" w:before="240" w:after="0"/>
        <w:jc w:val="both"/>
        <w:rPr>
          <w:rFonts w:eastAsia="Times New Roman"/>
          <w:b/>
          <w:b/>
          <w:bCs/>
        </w:rPr>
      </w:pPr>
      <w:r>
        <w:rPr>
          <w:rFonts w:eastAsia="Times New Roman"/>
          <w:b/>
          <w:bCs/>
        </w:rPr>
        <w:t xml:space="preserve">2.6 Performance Evaluation  </w:t>
      </w:r>
    </w:p>
    <w:p>
      <w:pPr>
        <w:pStyle w:val="Normal"/>
        <w:spacing w:lineRule="auto" w:line="360" w:before="100" w:after="300"/>
        <w:jc w:val="both"/>
        <w:rPr>
          <w:rFonts w:eastAsia="Times New Roman"/>
        </w:rPr>
      </w:pPr>
      <w:r>
        <w:rPr>
          <w:rFonts w:eastAsia="Times New Roman"/>
        </w:rPr>
        <w:t>Model performance was evaluated by using four regression metrics: Mean Absolute Error (MAE), Root Mean Square Error (RMSE), coefficient of determination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rFonts w:eastAsia="Times New Roman"/>
        </w:rPr>
        <w:t xml:space="preserve">), and Pearson correlation coefficient. The expressions of MAE, RMSE, </w:t>
      </w:r>
      <w:r>
        <w:rPr/>
      </w:r>
      <m:oMath xmlns:m="http://schemas.openxmlformats.org/officeDocument/2006/math">
        <m:sSup>
          <m:e>
            <m:r>
              <w:rPr>
                <w:rFonts w:ascii="Cambria Math" w:hAnsi="Cambria Math"/>
              </w:rPr>
              <m:t xml:space="preserve">R</m:t>
            </m:r>
          </m:e>
          <m:sup>
            <m:r>
              <w:rPr>
                <w:rFonts w:ascii="Cambria Math" w:hAnsi="Cambria Math"/>
              </w:rPr>
              <m:t xml:space="preserve">2</m:t>
            </m:r>
          </m:sup>
        </m:sSup>
      </m:oMath>
      <w:r>
        <w:rPr>
          <w:rFonts w:eastAsia="Times New Roman"/>
        </w:rPr>
        <w:t>, and Pearson correlation coefficient are shown in equations 2-4</w:t>
      </w:r>
    </w:p>
    <w:p>
      <w:pPr>
        <w:pStyle w:val="Normal"/>
        <w:tabs>
          <w:tab w:val="clear" w:pos="720"/>
          <w:tab w:val="center" w:pos="4680" w:leader="none"/>
          <w:tab w:val="right" w:pos="9360" w:leader="none"/>
        </w:tabs>
        <w:spacing w:lineRule="auto" w:line="360" w:before="120" w:after="120"/>
        <w:ind w:left="720" w:hanging="0"/>
        <w:rPr>
          <w:rFonts w:eastAsia="Times New Roman"/>
        </w:rPr>
      </w:pPr>
      <w:r>
        <w:rPr>
          <w:rFonts w:eastAsia="Times New Roman"/>
        </w:rPr>
        <w:tab/>
      </w:r>
      <w:r>
        <w:rPr/>
      </w:r>
      <m:oMath xmlns:m="http://schemas.openxmlformats.org/officeDocument/2006/math">
        <m:r>
          <w:rPr>
            <w:rFonts w:ascii="Cambria Math" w:hAnsi="Cambria Math"/>
          </w:rPr>
          <m:t xml:space="preserve">MAE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sSub>
                      <m:e>
                        <m:r>
                          <w:rPr>
                            <w:rFonts w:ascii="Cambria Math" w:hAnsi="Cambria Math"/>
                          </w:rPr>
                          <m:t xml:space="preserve">y</m:t>
                        </m:r>
                      </m:e>
                      <m:sub>
                        <m:r>
                          <w:rPr>
                            <w:rFonts w:ascii="Cambria Math" w:hAnsi="Cambria Math"/>
                          </w:rPr>
                          <m:t xml:space="preserve">i</m:t>
                        </m:r>
                      </m:sub>
                    </m:sSub>
                  </m:e>
                </m:acc>
              </m:e>
            </m:d>
          </m:e>
        </m:nary>
      </m:oMath>
      <w:r>
        <w:rPr>
          <w:rFonts w:eastAsia="Times New Roman"/>
        </w:rPr>
        <w:tab/>
        <w:t>(2)</w:t>
      </w:r>
    </w:p>
    <w:p>
      <w:pPr>
        <w:pStyle w:val="Normal"/>
        <w:tabs>
          <w:tab w:val="clear" w:pos="720"/>
          <w:tab w:val="center" w:pos="4680" w:leader="none"/>
          <w:tab w:val="right" w:pos="9360" w:leader="none"/>
        </w:tabs>
        <w:spacing w:lineRule="auto" w:line="360" w:before="120" w:after="120"/>
        <w:ind w:left="720" w:hanging="0"/>
        <w:rPr>
          <w:rFonts w:eastAsia="Times New Roman"/>
        </w:rPr>
      </w:pPr>
      <w:r>
        <w:rPr>
          <w:rFonts w:eastAsia="Times New Roman"/>
        </w:rPr>
        <w:tab/>
      </w:r>
      <w:r>
        <w:rPr/>
      </w:r>
      <m:oMath xmlns:m="http://schemas.openxmlformats.org/officeDocument/2006/math">
        <m:r>
          <w:rPr>
            <w:rFonts w:ascii="Cambria Math" w:hAnsi="Cambria Math"/>
          </w:rPr>
          <m:t xml:space="preserve">RMSE</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sSub>
                              <m:e>
                                <m:r>
                                  <w:rPr>
                                    <w:rFonts w:ascii="Cambria Math" w:hAnsi="Cambria Math"/>
                                  </w:rPr>
                                  <m:t xml:space="preserve">y</m:t>
                                </m:r>
                              </m:e>
                              <m:sub>
                                <m:r>
                                  <w:rPr>
                                    <w:rFonts w:ascii="Cambria Math" w:hAnsi="Cambria Math"/>
                                  </w:rPr>
                                  <m:t xml:space="preserve">i</m:t>
                                </m:r>
                              </m:sub>
                            </m:sSub>
                          </m:e>
                        </m:acc>
                      </m:e>
                    </m:d>
                  </m:e>
                  <m:sup>
                    <m:r>
                      <w:rPr>
                        <w:rFonts w:ascii="Cambria Math" w:hAnsi="Cambria Math"/>
                      </w:rPr>
                      <m:t xml:space="preserve">2</m:t>
                    </m:r>
                  </m:sup>
                </m:sSup>
              </m:e>
            </m:nary>
          </m:e>
        </m:rad>
      </m:oMath>
      <w:r>
        <w:rPr>
          <w:rFonts w:eastAsia="Times New Roman"/>
        </w:rPr>
        <w:tab/>
        <w:t>(3)</w:t>
      </w:r>
    </w:p>
    <w:p>
      <w:pPr>
        <w:pStyle w:val="Normal"/>
        <w:tabs>
          <w:tab w:val="clear" w:pos="720"/>
          <w:tab w:val="center" w:pos="4680" w:leader="none"/>
          <w:tab w:val="right" w:pos="9360" w:leader="none"/>
        </w:tabs>
        <w:spacing w:lineRule="auto" w:line="360" w:before="120" w:after="120"/>
        <w:ind w:left="720" w:hanging="0"/>
        <w:rPr>
          <w:rFonts w:eastAsia="Times New Roman"/>
        </w:rPr>
      </w:pPr>
      <w:r>
        <w:rPr>
          <w:rFonts w:eastAsia="Times New Roman"/>
        </w:rPr>
        <w:tab/>
      </w:r>
      <w:r>
        <w:rPr/>
      </w:r>
      <m:oMath xmlns:m="http://schemas.openxmlformats.org/officeDocument/2006/math">
        <m:sSup>
          <m:e>
            <m:r>
              <w:rPr>
                <w:rFonts w:ascii="Cambria Math" w:hAnsi="Cambria Math"/>
              </w:rPr>
              <m:t xml:space="preserve">R</m:t>
            </m:r>
          </m:e>
          <m:sup>
            <m:r>
              <w:rPr>
                <w:rFonts w:ascii="Cambria Math" w:hAnsi="Cambria Math"/>
              </w:rPr>
              <m:t xml:space="preserve">2</m:t>
            </m:r>
          </m:sup>
        </m:sSup>
        <m:r>
          <w:rPr>
            <w:rFonts w:ascii="Cambria Math" w:hAnsi="Cambria Math"/>
          </w:rPr>
          <m:t xml:space="preserve">=</m:t>
        </m:r>
        <m:r>
          <w:rPr>
            <w:rFonts w:ascii="Cambria Math" w:hAnsi="Cambria Math"/>
          </w:rPr>
          <m:t xml:space="preserve">1</m:t>
        </m:r>
        <m:r>
          <w:rPr>
            <w:rFonts w:ascii="Cambria Math" w:hAnsi="Cambria Math"/>
          </w:rPr>
          <m:t xml:space="preserve">−</m:t>
        </m:r>
        <m:f>
          <m:num>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acc>
                          <m:accPr>
                            <m:chr m:val="^"/>
                          </m:accPr>
                          <m:e>
                            <m:sSub>
                              <m:e>
                                <m:r>
                                  <w:rPr>
                                    <w:rFonts w:ascii="Cambria Math" w:hAnsi="Cambria Math"/>
                                  </w:rPr>
                                  <m:t xml:space="preserve">y</m:t>
                                </m:r>
                              </m:e>
                              <m:sub>
                                <m:r>
                                  <w:rPr>
                                    <w:rFonts w:ascii="Cambria Math" w:hAnsi="Cambria Math"/>
                                  </w:rPr>
                                  <m:t xml:space="preserve">i</m:t>
                                </m:r>
                              </m:sub>
                            </m:sSub>
                          </m:e>
                        </m:acc>
                      </m:e>
                    </m:d>
                  </m:e>
                  <m:sup>
                    <m:r>
                      <w:rPr>
                        <w:rFonts w:ascii="Cambria Math" w:hAnsi="Cambria Math"/>
                      </w:rPr>
                      <m:t xml:space="preserve">2</m:t>
                    </m:r>
                  </m:sup>
                </m:sSup>
              </m:e>
            </m:nary>
          </m:num>
          <m:den>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1</m:t>
                </m:r>
              </m:sub>
              <m:sup>
                <m:r>
                  <w:rPr>
                    <w:rFonts w:ascii="Cambria Math" w:hAnsi="Cambria Math"/>
                  </w:rPr>
                  <m:t xml:space="preserve">n</m:t>
                </m:r>
              </m:sup>
              <m:e>
                <m:sSup>
                  <m:e>
                    <m:d>
                      <m:dPr>
                        <m:begChr m:val="("/>
                        <m:endChr m:val=")"/>
                      </m:dPr>
                      <m:e>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bar>
                          <m:barPr>
                            <m:pos m:val="top"/>
                          </m:barPr>
                          <m:e>
                            <m:r>
                              <w:rPr>
                                <w:rFonts w:ascii="Cambria Math" w:hAnsi="Cambria Math"/>
                              </w:rPr>
                              <m:t xml:space="preserve">y</m:t>
                            </m:r>
                          </m:e>
                        </m:bar>
                      </m:e>
                    </m:d>
                  </m:e>
                  <m:sup>
                    <m:r>
                      <w:rPr>
                        <w:rFonts w:ascii="Cambria Math" w:hAnsi="Cambria Math"/>
                      </w:rPr>
                      <m:t xml:space="preserve">2</m:t>
                    </m:r>
                  </m:sup>
                </m:sSup>
              </m:e>
            </m:nary>
          </m:den>
        </m:f>
      </m:oMath>
      <w:r>
        <w:rPr>
          <w:rFonts w:eastAsia="Times New Roman"/>
        </w:rPr>
        <w:tab/>
        <w:t>(4)</w:t>
      </w:r>
    </w:p>
    <w:p>
      <w:pPr>
        <w:pStyle w:val="Normal"/>
        <w:spacing w:lineRule="auto" w:line="360" w:before="100" w:after="300"/>
        <w:jc w:val="both"/>
        <w:rPr>
          <w:rFonts w:eastAsia="Times New Roman"/>
        </w:rPr>
      </w:pPr>
      <w:r>
        <w:rPr>
          <w:rFonts w:eastAsia="Times New Roman"/>
        </w:rPr>
        <w:t xml:space="preserve">where </w:t>
      </w:r>
      <w:r>
        <w:rPr/>
      </w:r>
      <m:oMath xmlns:m="http://schemas.openxmlformats.org/officeDocument/2006/math">
        <m:r>
          <w:rPr>
            <w:rFonts w:ascii="Cambria Math" w:hAnsi="Cambria Math"/>
          </w:rPr>
          <m:t xml:space="preserve">n</m:t>
        </m:r>
      </m:oMath>
      <w:r>
        <w:rPr>
          <w:rFonts w:eastAsia="Times New Roman"/>
        </w:rPr>
        <w:t xml:space="preserve"> denotes the total number of samples, </w:t>
      </w:r>
      <w:r>
        <w:rPr/>
      </w:r>
      <m:oMath xmlns:m="http://schemas.openxmlformats.org/officeDocument/2006/math">
        <m:sSub>
          <m:e>
            <m:r>
              <w:rPr>
                <w:rFonts w:ascii="Cambria Math" w:hAnsi="Cambria Math"/>
              </w:rPr>
              <m:t xml:space="preserve">y</m:t>
            </m:r>
          </m:e>
          <m:sub>
            <m:r>
              <w:rPr>
                <w:rFonts w:ascii="Cambria Math" w:hAnsi="Cambria Math"/>
              </w:rPr>
              <m:t xml:space="preserve">i</m:t>
            </m:r>
          </m:sub>
        </m:sSub>
      </m:oMath>
      <w:r>
        <w:rPr>
          <w:rFonts w:eastAsia="Times New Roman"/>
        </w:rPr>
        <w:t xml:space="preserve"> and </w:t>
      </w:r>
      <w:r>
        <w:rPr/>
      </w:r>
      <m:oMath xmlns:m="http://schemas.openxmlformats.org/officeDocument/2006/math">
        <m:acc>
          <m:accPr>
            <m:chr m:val="^"/>
          </m:accPr>
          <m:e>
            <m:sSub>
              <m:e>
                <m:r>
                  <w:rPr>
                    <w:rFonts w:ascii="Cambria Math" w:hAnsi="Cambria Math"/>
                  </w:rPr>
                  <m:t xml:space="preserve">y</m:t>
                </m:r>
              </m:e>
              <m:sub>
                <m:r>
                  <w:rPr>
                    <w:rFonts w:ascii="Cambria Math" w:hAnsi="Cambria Math"/>
                  </w:rPr>
                  <m:t xml:space="preserve">i</m:t>
                </m:r>
              </m:sub>
            </m:sSub>
          </m:e>
        </m:acc>
      </m:oMath>
      <w:r>
        <w:rPr>
          <w:rFonts w:eastAsia="Times New Roman"/>
        </w:rPr>
        <w:t xml:space="preserve">represent the actual and predicted values of the </w:t>
      </w:r>
      <w:r>
        <w:rPr/>
      </w:r>
      <m:oMath xmlns:m="http://schemas.openxmlformats.org/officeDocument/2006/math">
        <m:r>
          <w:rPr>
            <w:rFonts w:ascii="Cambria Math" w:hAnsi="Cambria Math"/>
          </w:rPr>
          <m:t xml:space="preserve">i</m:t>
        </m:r>
      </m:oMath>
      <w:r>
        <w:rPr>
          <w:rFonts w:eastAsia="Times New Roman"/>
        </w:rPr>
        <w:t xml:space="preserve">-th sample, respectively, while </w:t>
      </w:r>
      <w:r>
        <w:rPr/>
      </w:r>
      <m:oMath xmlns:m="http://schemas.openxmlformats.org/officeDocument/2006/math">
        <m:bar>
          <m:barPr>
            <m:pos m:val="top"/>
          </m:barPr>
          <m:e>
            <m:r>
              <w:rPr>
                <w:rFonts w:ascii="Cambria Math" w:hAnsi="Cambria Math"/>
              </w:rPr>
              <m:t xml:space="preserve">y</m:t>
            </m:r>
          </m:e>
        </m:bar>
      </m:oMath>
      <w:r>
        <w:rPr>
          <w:rFonts w:eastAsia="Times New Roman"/>
        </w:rPr>
        <w:t xml:space="preserve"> and </w:t>
      </w:r>
      <w:r>
        <w:rPr/>
      </w:r>
      <m:oMath xmlns:m="http://schemas.openxmlformats.org/officeDocument/2006/math">
        <m:bar>
          <m:barPr>
            <m:pos m:val="top"/>
          </m:barPr>
          <m:e>
            <m:acc>
              <m:accPr>
                <m:chr m:val="^"/>
              </m:accPr>
              <m:e>
                <m:r>
                  <w:rPr>
                    <w:rFonts w:ascii="Cambria Math" w:hAnsi="Cambria Math"/>
                  </w:rPr>
                  <m:t xml:space="preserve">y</m:t>
                </m:r>
              </m:e>
            </m:acc>
          </m:e>
        </m:bar>
      </m:oMath>
      <w:r>
        <w:rPr>
          <w:rFonts w:eastAsia="Times New Roman"/>
        </w:rPr>
        <w:t xml:space="preserve"> denote the mean values of the actual and predicted data, respectively.  </w:t>
      </w:r>
    </w:p>
    <w:p>
      <w:pPr>
        <w:pStyle w:val="Normal"/>
        <w:spacing w:lineRule="auto" w:line="360" w:before="100" w:after="300"/>
        <w:jc w:val="both"/>
        <w:rPr>
          <w:rFonts w:eastAsia="Times New Roman"/>
          <w:b/>
          <w:b/>
          <w:bCs/>
        </w:rPr>
      </w:pPr>
      <w:r>
        <w:rPr>
          <w:rFonts w:eastAsia="Times New Roman"/>
          <w:b/>
          <w:bCs/>
        </w:rPr>
        <w:t xml:space="preserve">3. Result and Discussion </w:t>
      </w:r>
    </w:p>
    <w:p>
      <w:pPr>
        <w:pStyle w:val="Normal"/>
        <w:spacing w:lineRule="auto" w:line="360" w:before="100" w:after="300"/>
        <w:jc w:val="both"/>
        <w:rPr>
          <w:rFonts w:eastAsia="Times New Roman"/>
          <w:b/>
          <w:b/>
          <w:bCs/>
        </w:rPr>
      </w:pPr>
      <w:r>
        <w:rPr>
          <w:rFonts w:eastAsia="Times New Roman"/>
          <w:b/>
          <w:bCs/>
        </w:rPr>
        <w:t xml:space="preserve">3.1 Exploratory Data Analysis </w:t>
      </w:r>
    </w:p>
    <w:p>
      <w:pPr>
        <w:pStyle w:val="Normal"/>
        <w:spacing w:lineRule="auto" w:line="360" w:before="100" w:after="300"/>
        <w:jc w:val="both"/>
        <w:rPr/>
      </w:pPr>
      <w:r>
        <w:rPr/>
        <w:t xml:space="preserve">Exploratory Data Analysis (EDA) is an important step before training the dataset. EDA is the stage for understanding the characteristic pattern, distribution, and quality of a dataset before it is used for more analysis or machine learning prediction. EDA also helps identify issues with the dataset, such as missing data or invalid data. Therefore, the data can be cleaned and prepared for analysis or machine learning.  </w:t>
      </w:r>
    </w:p>
    <w:p>
      <w:pPr>
        <w:pStyle w:val="Normal"/>
        <w:spacing w:lineRule="auto" w:line="360" w:before="100" w:after="300"/>
        <w:jc w:val="both"/>
        <w:rPr>
          <w:rFonts w:eastAsia="Times New Roman"/>
          <w:b/>
          <w:b/>
          <w:bCs/>
        </w:rPr>
      </w:pPr>
      <w:r>
        <w:rPr>
          <w:rFonts w:eastAsia="Times New Roman"/>
          <w:b/>
          <w:bCs/>
        </w:rPr>
        <w:t xml:space="preserve">3.1.1 Distribution of Target Properties    </w:t>
      </w:r>
    </w:p>
    <w:p>
      <w:pPr>
        <w:pStyle w:val="Normal"/>
        <w:spacing w:lineRule="auto" w:line="360" w:before="100" w:after="300"/>
        <w:jc w:val="both"/>
        <w:rPr>
          <w:rFonts w:eastAsia="Times New Roman"/>
          <w:b/>
          <w:b/>
          <w:bCs/>
        </w:rPr>
      </w:pPr>
      <w:r>
        <w:rPr>
          <w:rFonts w:eastAsia="Times New Roman"/>
        </w:rPr>
        <w:t xml:space="preserve">Figure 5 shows the distribution of each property in the dataset. The band gap distribution is highly right-skewed, indicating that most values are close to 0 eV. The frequency of materials decreases significantly with increasing band gap values. Furthermore, long tails extend to approximately 2.68 eV. This indicates that the original dataset is dominated by materials with low band gap values, which are metallic and semimetallic. This unbalanced data makes the model biased and causes it to learn materials with low band gap values. Consequently, filtering and balancing the data are needed to achieve a more representative distribution of band gap values for training the model. The formation energy distribution shows a unimodal, concentrated profile. The highest frequency in the formation energy distribution is in the negative region and gradually decreases toward more negative and positive values, indicating that negative formation energy values are predominant and providing a relatively concentrated target range for machine learning prediction. The distribution of the mechanical properties, which are bulk and shear moduli, exhibits positive skewness, with most materials concentrated in the low-to-moderate range, indicating that only a small fraction of materials achieve high bulk and shear moduli. These high moduli correspond to the extended right tail of the distribution and to materials with greater resistance to volumetric and shear deformation.  </w:t>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943600" cy="3534410"/>
            <wp:effectExtent l="0" t="0" r="0" b="0"/>
            <wp:wrapSquare wrapText="largest"/>
            <wp:docPr id="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pic:cNvPicPr>
                      <a:picLocks noChangeAspect="1" noChangeArrowheads="1"/>
                    </pic:cNvPicPr>
                  </pic:nvPicPr>
                  <pic:blipFill>
                    <a:blip r:embed="rId7"/>
                    <a:stretch>
                      <a:fillRect/>
                    </a:stretch>
                  </pic:blipFill>
                  <pic:spPr bwMode="auto">
                    <a:xfrm>
                      <a:off x="0" y="0"/>
                      <a:ext cx="5943600" cy="3534410"/>
                    </a:xfrm>
                    <a:prstGeom prst="rect">
                      <a:avLst/>
                    </a:prstGeom>
                  </pic:spPr>
                </pic:pic>
              </a:graphicData>
            </a:graphic>
          </wp:anchor>
        </w:drawing>
      </w:r>
    </w:p>
    <w:p>
      <w:pPr>
        <w:pStyle w:val="Caption1"/>
        <w:rPr>
          <w:rFonts w:eastAsia="Times New Roman"/>
          <w:b w:val="false"/>
          <w:b w:val="false"/>
          <w:bCs/>
        </w:rPr>
      </w:pPr>
      <w:r>
        <w:rPr/>
        <w:t xml:space="preserve">Figure 5 </w:t>
      </w:r>
      <w:r>
        <w:rPr>
          <w:b w:val="false"/>
          <w:bCs/>
        </w:rPr>
        <w:t>Distribution data of multi-property targets: (a) band gap distribution, (b) formation energy, (c) bulk modulus, (d) shear modulus</w:t>
      </w:r>
    </w:p>
    <w:p>
      <w:pPr>
        <w:pStyle w:val="Normal"/>
        <w:spacing w:lineRule="auto" w:line="360" w:before="100" w:after="300"/>
        <w:jc w:val="both"/>
        <w:rPr>
          <w:rFonts w:eastAsia="Times New Roman"/>
          <w:b/>
          <w:b/>
          <w:bCs/>
        </w:rPr>
      </w:pPr>
      <w:r>
        <w:rPr>
          <w:rFonts w:eastAsia="Times New Roman"/>
          <w:b/>
          <w:bCs/>
        </w:rPr>
        <w:t xml:space="preserve">3.1.2 Correlation Analysis </w:t>
      </w:r>
    </w:p>
    <w:p>
      <w:pPr>
        <w:pStyle w:val="Normal"/>
        <w:spacing w:lineRule="auto" w:line="360" w:before="100" w:after="300"/>
        <w:jc w:val="both"/>
        <w:rPr>
          <w:rFonts w:eastAsia="Times New Roman"/>
          <w:lang w:val="en-US"/>
        </w:rPr>
      </w:pPr>
      <w:r>
        <w:rPr>
          <w:rFonts w:eastAsia="Times New Roman"/>
          <w:lang w:val="en-US"/>
        </w:rPr>
        <w:t xml:space="preserve">Figure 6 illustrates the correlation of each property. The highest correlation (0.86) is shown between the bulk and shear modulus, because both measure the stiffness of the materials. Meanwhile, the band gap and formation energy are moderately negative (-0.64), indicating that materials with the larger band gap are more thermodynamically stable. For the other property pairs, the correlations are weak and near zero, indicating that there is no correlation between the electronic and mechanical properties in this dataset. </w:t>
      </w:r>
    </w:p>
    <w:p>
      <w:pPr>
        <w:pStyle w:val="Normal"/>
        <w:keepNext w:val="true"/>
        <w:spacing w:lineRule="auto" w:line="360" w:before="100" w:after="300"/>
        <w:ind w:left="720" w:hanging="0"/>
        <w:jc w:val="center"/>
        <w:rPr/>
      </w:pPr>
      <w:r>
        <w:rPr/>
      </w:r>
    </w:p>
    <w:p>
      <w:pPr>
        <w:pStyle w:val="Caption1"/>
        <w:jc w:val="center"/>
        <w:rPr>
          <w:b w:val="false"/>
          <w:b w:val="false"/>
          <w:b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943600" cy="5162550"/>
            <wp:effectExtent l="0" t="0" r="0" b="0"/>
            <wp:wrapSquare wrapText="largest"/>
            <wp:docPr id="6"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0" descr=""/>
                    <pic:cNvPicPr>
                      <a:picLocks noChangeAspect="1" noChangeArrowheads="1"/>
                    </pic:cNvPicPr>
                  </pic:nvPicPr>
                  <pic:blipFill>
                    <a:blip r:embed="rId8"/>
                    <a:stretch>
                      <a:fillRect/>
                    </a:stretch>
                  </pic:blipFill>
                  <pic:spPr bwMode="auto">
                    <a:xfrm>
                      <a:off x="0" y="0"/>
                      <a:ext cx="5943600" cy="5162550"/>
                    </a:xfrm>
                    <a:prstGeom prst="rect">
                      <a:avLst/>
                    </a:prstGeom>
                  </pic:spPr>
                </pic:pic>
              </a:graphicData>
            </a:graphic>
          </wp:anchor>
        </w:drawing>
      </w:r>
      <w:r>
        <w:rPr/>
        <w:t xml:space="preserve">Figure 6 </w:t>
      </w:r>
      <w:r>
        <w:rPr>
          <w:b w:val="false"/>
          <w:bCs/>
        </w:rPr>
        <w:t>Pearson Correlation for each property</w:t>
      </w:r>
    </w:p>
    <w:p>
      <w:pPr>
        <w:pStyle w:val="Normal"/>
        <w:rPr/>
      </w:pPr>
      <w:r>
        <w:rPr/>
      </w:r>
    </w:p>
    <w:p>
      <w:pPr>
        <w:pStyle w:val="Normal"/>
        <w:spacing w:lineRule="auto" w:line="360" w:before="100" w:after="300"/>
        <w:rPr>
          <w:rFonts w:eastAsia="Times New Roman"/>
          <w:b/>
          <w:b/>
          <w:bCs/>
        </w:rPr>
      </w:pPr>
      <w:r>
        <w:rPr>
          <w:rFonts w:eastAsia="Times New Roman"/>
          <w:b/>
          <w:bCs/>
        </w:rPr>
        <w:t xml:space="preserve">3.1.3 Material Category Distribution </w:t>
      </w:r>
    </w:p>
    <w:p>
      <w:pPr>
        <w:pStyle w:val="Normal"/>
        <w:spacing w:lineRule="auto" w:line="360" w:before="100" w:after="300"/>
        <w:jc w:val="both"/>
        <w:rPr>
          <w:rFonts w:eastAsia="Times New Roman"/>
        </w:rPr>
      </w:pPr>
      <w:r>
        <w:rPr>
          <w:rFonts w:eastAsia="Times New Roman"/>
        </w:rPr>
        <w:t xml:space="preserve">In the dataset, materials were categorized into four categories based on their band gap values: metals, semimetals, semiconductors, and insulators, as presented in Figure 7. The largest proportion is metallic materials, followed by semiconductors and insulators, while the smallest proportion is semimetals. This indicates that the dataset is imbalanced, with metallic materials being the largest category. Despite this imbalance, all categories were included to provide a variety of crystalline materials for training the CGCNN model. </w:t>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43600" cy="3533140"/>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9"/>
                    <a:stretch>
                      <a:fillRect/>
                    </a:stretch>
                  </pic:blipFill>
                  <pic:spPr bwMode="auto">
                    <a:xfrm>
                      <a:off x="0" y="0"/>
                      <a:ext cx="5943600" cy="3533140"/>
                    </a:xfrm>
                    <a:prstGeom prst="rect">
                      <a:avLst/>
                    </a:prstGeom>
                  </pic:spPr>
                </pic:pic>
              </a:graphicData>
            </a:graphic>
          </wp:anchor>
        </w:drawing>
      </w:r>
    </w:p>
    <w:p>
      <w:pPr>
        <w:pStyle w:val="Caption1"/>
        <w:rPr>
          <w:b w:val="false"/>
          <w:b w:val="false"/>
          <w:bCs/>
        </w:rPr>
      </w:pPr>
      <w:r>
        <w:rPr/>
        <w:t xml:space="preserve">Figure 7 </w:t>
      </w:r>
      <w:r>
        <w:rPr>
          <w:b w:val="false"/>
          <w:bCs/>
        </w:rPr>
        <w:t>The Quantity of materials and categories based on each property</w:t>
      </w:r>
    </w:p>
    <w:p>
      <w:pPr>
        <w:pStyle w:val="Normal"/>
        <w:spacing w:lineRule="auto" w:line="360" w:before="100" w:after="300"/>
        <w:rPr>
          <w:rFonts w:eastAsia="Times New Roman"/>
          <w:b/>
          <w:b/>
          <w:bCs/>
        </w:rPr>
      </w:pPr>
      <w:r>
        <w:rPr>
          <w:rFonts w:eastAsia="Times New Roman"/>
          <w:b/>
          <w:bCs/>
        </w:rPr>
        <w:t xml:space="preserve">3.2 Model Performance </w:t>
      </w:r>
    </w:p>
    <w:p>
      <w:pPr>
        <w:pStyle w:val="Normal"/>
        <w:spacing w:lineRule="auto" w:line="360" w:before="100" w:after="300"/>
        <w:jc w:val="both"/>
        <w:rPr>
          <w:rFonts w:eastAsia="Times New Roman"/>
        </w:rPr>
      </w:pPr>
      <w:r>
        <w:rPr>
          <w:rFonts w:eastAsia="Times New Roman"/>
        </w:rPr>
        <w:t xml:space="preserve">This section presents the performance of the CGCNN model for multi-property prediction. Model performance was evaluated using the training process, quantitative metrics, and agreement between predicted and reference values. These analyses provide a comprehensive assessment of the model’s capability to predict electronic, thermodynamic, and mechanical properties of crystalline materials.  </w:t>
      </w:r>
    </w:p>
    <w:p>
      <w:pPr>
        <w:pStyle w:val="Normal"/>
        <w:spacing w:lineRule="auto" w:line="360" w:before="100" w:after="300"/>
        <w:jc w:val="both"/>
        <w:rPr>
          <w:rFonts w:eastAsia="Times New Roman"/>
        </w:rPr>
      </w:pPr>
      <w:r>
        <w:rPr>
          <w:rFonts w:eastAsia="Times New Roman"/>
        </w:rPr>
      </w:r>
    </w:p>
    <w:p>
      <w:pPr>
        <w:pStyle w:val="Normal"/>
        <w:spacing w:lineRule="auto" w:line="360" w:before="100" w:after="300"/>
        <w:jc w:val="both"/>
        <w:rPr>
          <w:rFonts w:eastAsia="Times New Roman"/>
          <w:b/>
          <w:b/>
          <w:bCs/>
        </w:rPr>
      </w:pPr>
      <w:r>
        <w:rPr>
          <w:rFonts w:eastAsia="Times New Roman"/>
          <w:b/>
          <w:bCs/>
        </w:rPr>
        <w:t>3.2.1 Model Training and Convergence Analysis</w:t>
      </w:r>
    </w:p>
    <w:p>
      <w:pPr>
        <w:pStyle w:val="Normal"/>
        <w:spacing w:lineRule="auto" w:line="360" w:before="100" w:after="300"/>
        <w:jc w:val="both"/>
        <w:rPr>
          <w:rFonts w:eastAsia="Times New Roman"/>
        </w:rPr>
      </w:pPr>
      <w:r>
        <w:rPr>
          <w:rFonts w:eastAsia="Times New Roman"/>
        </w:rPr>
        <w:t xml:space="preserve">The CGCNN model training processes are shown in Figure 8. During the initial epochs, the training, validation, and testing loss curves decrease rapidly, indicating that the relationship between crystal structures and the target material properties has been captured. During model training, the loss values gradually stabilize and converge, indicating that the optimization has reached a stable state. </w:t>
      </w:r>
    </w:p>
    <w:p>
      <w:pPr>
        <w:pStyle w:val="Normal"/>
        <w:spacing w:lineRule="auto" w:line="360" w:before="100" w:after="300"/>
        <w:jc w:val="both"/>
        <w:rPr>
          <w:rFonts w:eastAsia="Times New Roman"/>
        </w:rPr>
      </w:pPr>
      <w:r>
        <w:rPr>
          <w:rFonts w:eastAsia="Times New Roman"/>
        </w:rPr>
        <w:t xml:space="preserve">Although the training loss continued to decrease during training, the validation and test losses remained relatively stable, with only minor fluctuations. The small distance between these three curves indicates good generalization and that the model is not overfitting. Overall, this convergence confirms that the CGCNN model can learn features representative of crystals suitable for multi-property prediction. </w:t>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3413125"/>
            <wp:effectExtent l="0" t="0" r="0" b="0"/>
            <wp:wrapSquare wrapText="largest"/>
            <wp:docPr id="8"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1" descr=""/>
                    <pic:cNvPicPr>
                      <a:picLocks noChangeAspect="1" noChangeArrowheads="1"/>
                    </pic:cNvPicPr>
                  </pic:nvPicPr>
                  <pic:blipFill>
                    <a:blip r:embed="rId10"/>
                    <a:stretch>
                      <a:fillRect/>
                    </a:stretch>
                  </pic:blipFill>
                  <pic:spPr bwMode="auto">
                    <a:xfrm>
                      <a:off x="0" y="0"/>
                      <a:ext cx="5943600" cy="3413125"/>
                    </a:xfrm>
                    <a:prstGeom prst="rect">
                      <a:avLst/>
                    </a:prstGeom>
                  </pic:spPr>
                </pic:pic>
              </a:graphicData>
            </a:graphic>
          </wp:anchor>
        </w:drawing>
      </w:r>
    </w:p>
    <w:p>
      <w:pPr>
        <w:pStyle w:val="Caption1"/>
        <w:rPr>
          <w:rFonts w:eastAsia="Times New Roman"/>
          <w:b w:val="false"/>
          <w:b w:val="false"/>
          <w:bCs/>
        </w:rPr>
      </w:pPr>
      <w:r>
        <w:rPr/>
        <w:t>Figure 8</w:t>
      </w:r>
      <w:r>
        <w:rPr>
          <w:rFonts w:eastAsia="Times New Roman"/>
        </w:rPr>
        <w:t xml:space="preserve"> </w:t>
      </w:r>
      <w:r>
        <w:rPr>
          <w:rFonts w:eastAsia="Times New Roman"/>
          <w:b w:val="false"/>
          <w:bCs/>
        </w:rPr>
        <w:t>Training, validation, and testing loss curves of the proposed CGCNN model.</w:t>
      </w:r>
    </w:p>
    <w:p>
      <w:pPr>
        <w:pStyle w:val="Normal"/>
        <w:spacing w:lineRule="auto" w:line="360" w:before="100" w:after="300"/>
        <w:rPr>
          <w:rFonts w:eastAsia="Times New Roman"/>
          <w:b/>
          <w:b/>
          <w:bCs/>
        </w:rPr>
      </w:pPr>
      <w:r>
        <w:rPr>
          <w:rFonts w:eastAsia="Times New Roman"/>
          <w:b/>
          <w:bCs/>
        </w:rPr>
        <w:t xml:space="preserve">3.2.2 Prediction performance analysis </w:t>
      </w:r>
    </w:p>
    <w:p>
      <w:pPr>
        <w:pStyle w:val="Normal"/>
        <w:spacing w:lineRule="auto" w:line="360" w:before="100" w:after="300"/>
        <w:jc w:val="both"/>
        <w:rPr>
          <w:rFonts w:eastAsia="Times New Roman"/>
          <w:b/>
          <w:b/>
          <w:bCs/>
        </w:rPr>
      </w:pPr>
      <w:r>
        <w:rPr/>
        <w:t>Satisfactory prediction accuracy across all targets has been achieved by the trained CGCNN model. The lowest prediction errors and the highest R</w:t>
      </w:r>
      <w:r>
        <w:rPr>
          <w:vertAlign w:val="superscript"/>
        </w:rPr>
        <w:t>2</w:t>
      </w:r>
      <w:r>
        <w:rPr/>
        <w:t xml:space="preserve"> and Pearson correlation values are achieved by band gap.  Formation energy and bulk modulus also exhibit strong prediction accuracy, whereas shear modulus produced larger prediction errors. The evaluation results for each target property are summarized in Figure </w:t>
      </w:r>
      <w:r>
        <w:rPr>
          <w:rFonts w:eastAsia="Times New Roman"/>
        </w:rPr>
        <w:t xml:space="preserve"> 9.  </w:t>
      </w:r>
      <w:r>
        <w:rPr>
          <w:rFonts w:eastAsia="Times New Roman"/>
          <w:b/>
          <w:bCs/>
        </w:rPr>
        <w:t xml:space="preserve">  </w:t>
      </w:r>
    </w:p>
    <w:p>
      <w:pPr>
        <w:pStyle w:val="Normal"/>
        <w:spacing w:lineRule="auto" w:line="360" w:before="100" w:after="300"/>
        <w:jc w:val="both"/>
        <w:rPr>
          <w:rFonts w:eastAsia="Times New Roman"/>
          <w:b/>
          <w:b/>
          <w:bCs/>
        </w:rPr>
      </w:pPr>
      <w:r>
        <w:rPr>
          <w:rFonts w:eastAsia="Times New Roman"/>
          <w:b/>
          <w:bCs/>
        </w:rPr>
      </w:r>
    </w:p>
    <w:p>
      <w:pPr>
        <w:pStyle w:val="Normal"/>
        <w:spacing w:lineRule="auto" w:line="360" w:before="100" w:after="300"/>
        <w:jc w:val="both"/>
        <w:rPr>
          <w:rFonts w:eastAsia="Times New Roman"/>
          <w:b/>
          <w:b/>
          <w:bCs/>
        </w:rPr>
      </w:pPr>
      <w:r>
        <w:rPr>
          <w:rFonts w:eastAsia="Times New Roman"/>
          <w:b/>
          <w:bCs/>
        </w:rPr>
      </w:r>
    </w:p>
    <w:p>
      <w:pPr>
        <w:pStyle w:val="Normal"/>
        <w:spacing w:lineRule="auto" w:line="360" w:before="100" w:after="300"/>
        <w:jc w:val="both"/>
        <w:rPr>
          <w:rFonts w:eastAsia="Times New Roman"/>
          <w:b/>
          <w:b/>
          <w:bCs/>
        </w:rPr>
      </w:pPr>
      <w:r>
        <w:rPr>
          <w:rFonts w:eastAsia="Times New Roman"/>
          <w:b/>
          <w:bCs/>
        </w:rPr>
      </w:r>
    </w:p>
    <w:p>
      <w:pPr>
        <w:pStyle w:val="Normal"/>
        <w:spacing w:lineRule="auto" w:line="360" w:before="100" w:after="300"/>
        <w:jc w:val="both"/>
        <w:rPr>
          <w:rFonts w:eastAsia="Times New Roman"/>
          <w:b/>
          <w:b/>
          <w:bCs/>
        </w:rPr>
      </w:pPr>
      <w:r>
        <w:rPr>
          <w:rFonts w:eastAsia="Times New Roman"/>
          <w:b/>
          <w:bCs/>
        </w:rPr>
      </w:r>
    </w:p>
    <w:p>
      <w:pPr>
        <w:pStyle w:val="Normal"/>
        <w:spacing w:lineRule="auto" w:line="360" w:before="100" w:after="300"/>
        <w:jc w:val="both"/>
        <w:rPr>
          <w:rFonts w:eastAsia="Times New Roman"/>
          <w:b/>
          <w:b/>
          <w:bCs/>
        </w:rPr>
      </w:pPr>
      <w:r>
        <w:rPr>
          <w:rFonts w:eastAsia="Times New Roman"/>
          <w:b/>
          <w:bCs/>
        </w:rPr>
      </w:r>
    </w:p>
    <w:p>
      <w:pPr>
        <w:pStyle w:val="Normal"/>
        <w:spacing w:lineRule="auto" w:line="360" w:before="100" w:after="300"/>
        <w:jc w:val="both"/>
        <w:rPr>
          <w:rFonts w:eastAsia="Times New Roman"/>
          <w:b/>
          <w:b/>
          <w:bCs/>
        </w:rPr>
      </w:pPr>
      <w:r>
        <w:rPr>
          <w:rFonts w:eastAsia="Times New Roman"/>
          <w:b/>
          <w:bCs/>
        </w:rPr>
      </w:r>
    </w:p>
    <w:p>
      <w:pPr>
        <w:pStyle w:val="Normal"/>
        <w:spacing w:lineRule="auto" w:line="360" w:before="100" w:after="300"/>
        <w:jc w:val="both"/>
        <w:rPr>
          <w:rFonts w:eastAsia="Times New Roman"/>
          <w:b/>
          <w:b/>
          <w:bCs/>
        </w:rPr>
      </w:pPr>
      <w:r>
        <w:rPr>
          <w:rFonts w:eastAsia="Times New Roman"/>
          <w:b/>
          <w:bCs/>
        </w:rPr>
        <w:drawing>
          <wp:anchor behindDoc="0" distT="0" distB="0" distL="0" distR="0" simplePos="0" locked="0" layoutInCell="0" allowOverlap="1" relativeHeight="18">
            <wp:simplePos x="0" y="0"/>
            <wp:positionH relativeFrom="column">
              <wp:posOffset>165100</wp:posOffset>
            </wp:positionH>
            <wp:positionV relativeFrom="paragraph">
              <wp:posOffset>229235</wp:posOffset>
            </wp:positionV>
            <wp:extent cx="5612765" cy="3691255"/>
            <wp:effectExtent l="0" t="0" r="0" b="0"/>
            <wp:wrapSquare wrapText="largest"/>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11"/>
                    <a:stretch>
                      <a:fillRect/>
                    </a:stretch>
                  </pic:blipFill>
                  <pic:spPr bwMode="auto">
                    <a:xfrm>
                      <a:off x="0" y="0"/>
                      <a:ext cx="5612765" cy="3691255"/>
                    </a:xfrm>
                    <a:prstGeom prst="rect">
                      <a:avLst/>
                    </a:prstGeom>
                  </pic:spPr>
                </pic:pic>
              </a:graphicData>
            </a:graphic>
          </wp:anchor>
        </w:drawing>
      </w:r>
    </w:p>
    <w:p>
      <w:pPr>
        <w:pStyle w:val="Caption1"/>
        <w:jc w:val="center"/>
        <w:rPr>
          <w:rFonts w:eastAsia="Times New Roman"/>
          <w:b w:val="false"/>
          <w:b w:val="false"/>
          <w:bCs/>
        </w:rPr>
      </w:pPr>
      <w:r>
        <w:rPr>
          <w:rFonts w:eastAsia="Times New Roman"/>
          <w:b w:val="false"/>
          <w:bCs/>
        </w:rPr>
      </w:r>
    </w:p>
    <w:p>
      <w:pPr>
        <w:pStyle w:val="Caption1"/>
        <w:jc w:val="center"/>
        <w:rPr>
          <w:rFonts w:eastAsia="Times New Roman"/>
          <w:b w:val="false"/>
          <w:b w:val="false"/>
          <w:bCs/>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43600" cy="1588770"/>
            <wp:effectExtent l="0" t="0" r="0" b="0"/>
            <wp:wrapSquare wrapText="largest"/>
            <wp:docPr id="1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
                    <pic:cNvPicPr>
                      <a:picLocks noChangeAspect="1" noChangeArrowheads="1"/>
                    </pic:cNvPicPr>
                  </pic:nvPicPr>
                  <pic:blipFill>
                    <a:blip r:embed="rId12"/>
                    <a:stretch>
                      <a:fillRect/>
                    </a:stretch>
                  </pic:blipFill>
                  <pic:spPr bwMode="auto">
                    <a:xfrm>
                      <a:off x="0" y="0"/>
                      <a:ext cx="5943600" cy="1588770"/>
                    </a:xfrm>
                    <a:prstGeom prst="rect">
                      <a:avLst/>
                    </a:prstGeom>
                  </pic:spPr>
                </pic:pic>
              </a:graphicData>
            </a:graphic>
          </wp:anchor>
        </w:drawing>
      </w:r>
      <w:r>
        <w:rPr/>
        <w:t xml:space="preserve">Figure 9 </w:t>
      </w:r>
      <w:r>
        <w:rPr>
          <w:b w:val="false"/>
          <w:bCs/>
        </w:rPr>
        <w:t xml:space="preserve">CGCNN model evaluation result </w:t>
      </w:r>
    </w:p>
    <w:p>
      <w:pPr>
        <w:pStyle w:val="Normal"/>
        <w:spacing w:lineRule="auto" w:line="360" w:before="100" w:after="300"/>
        <w:rPr>
          <w:rFonts w:eastAsia="Times New Roman"/>
          <w:b/>
          <w:b/>
          <w:bCs/>
        </w:rPr>
      </w:pPr>
      <w:r>
        <w:rPr>
          <w:rFonts w:eastAsia="Times New Roman"/>
          <w:b/>
          <w:bCs/>
        </w:rPr>
        <w:t xml:space="preserve">3.2.3 Actual vs Predicted Result Analysis  </w:t>
      </w:r>
    </w:p>
    <w:p>
      <w:pPr>
        <w:pStyle w:val="Normal"/>
        <w:spacing w:lineRule="auto" w:line="360"/>
        <w:jc w:val="both"/>
        <w:rPr>
          <w:rFonts w:eastAsia="Times New Roman"/>
        </w:rPr>
      </w:pPr>
      <w:r>
        <w:rPr>
          <w:rFonts w:eastAsia="Times New Roman"/>
        </w:rPr>
        <w:t>Figure 10 compares the predicted and actual values. After training, the predicted values align with the diagonal reference line, indicating good agreement between the model predictions and the DFT-calculated values. Band gap shows the closest agreement with the reference values, as reflected in its high R</w:t>
      </w:r>
      <w:r>
        <w:rPr>
          <w:rFonts w:eastAsia="Times New Roman"/>
          <w:vertAlign w:val="superscript"/>
        </w:rPr>
        <w:t xml:space="preserve">2 </w:t>
      </w:r>
      <w:r>
        <w:rPr>
          <w:rFonts w:eastAsia="Times New Roman"/>
        </w:rPr>
        <w:t xml:space="preserve">and Pearson correlation coefficient. Formation energy and bulk modulus also show strong predictive performance, though with a small number of outliers. In comparison, the shear modulus shows a slightly larger spread around the reference line, consistent with the relatively high prediction error in Figure 9. Overall, the CGCNN model provides reliable predictions across different material properties, as shown by the distribution of data points. </w:t>
      </w:r>
    </w:p>
    <w:p>
      <w:pPr>
        <w:pStyle w:val="Normal"/>
        <w:spacing w:lineRule="auto" w:line="360" w:before="0" w:after="300"/>
        <w:jc w:val="center"/>
        <w:rPr/>
      </w:pPr>
      <w:r>
        <w:rPr/>
        <w:t xml:space="preserve">  </w:t>
      </w:r>
    </w:p>
    <w:p>
      <w:pPr>
        <w:pStyle w:val="Caption1"/>
        <w:jc w:val="center"/>
        <w:rPr>
          <w:rFonts w:eastAsia="Times New Roman"/>
        </w:rPr>
      </w:pPr>
      <w:r>
        <w:rPr>
          <w:rFonts w:eastAsia="Times New Roman"/>
        </w:rPr>
      </w:r>
    </w:p>
    <w:p>
      <w:pPr>
        <w:pStyle w:val="Caption1"/>
        <w:jc w:val="center"/>
        <w:rPr>
          <w:rFonts w:eastAsia="Times New Roman"/>
        </w:rPr>
      </w:pPr>
      <w:r>
        <w:drawing>
          <wp:anchor behindDoc="0" distT="0" distB="0" distL="0" distR="0" simplePos="0" locked="0" layoutInCell="0" allowOverlap="1" relativeHeight="11">
            <wp:simplePos x="0" y="0"/>
            <wp:positionH relativeFrom="column">
              <wp:posOffset>0</wp:posOffset>
            </wp:positionH>
            <wp:positionV relativeFrom="paragraph">
              <wp:posOffset>116205</wp:posOffset>
            </wp:positionV>
            <wp:extent cx="5943600" cy="1682115"/>
            <wp:effectExtent l="0" t="0" r="0" b="0"/>
            <wp:wrapSquare wrapText="largest"/>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13"/>
                    <a:stretch>
                      <a:fillRect/>
                    </a:stretch>
                  </pic:blipFill>
                  <pic:spPr bwMode="auto">
                    <a:xfrm>
                      <a:off x="0" y="0"/>
                      <a:ext cx="5943600" cy="1682115"/>
                    </a:xfrm>
                    <a:prstGeom prst="rect">
                      <a:avLst/>
                    </a:prstGeom>
                  </pic:spPr>
                </pic:pic>
              </a:graphicData>
            </a:graphic>
          </wp:anchor>
        </w:drawing>
      </w:r>
      <w:r>
        <w:rPr/>
        <w:t xml:space="preserve">Figure 10 </w:t>
      </w:r>
      <w:r>
        <w:rPr>
          <w:rFonts w:eastAsia="Times New Roman"/>
          <w:b w:val="false"/>
          <w:bCs/>
        </w:rPr>
        <w:t xml:space="preserve">Comparison between the predicted and reference values for the train, validation, and test datasets by their evaluation metrics </w:t>
      </w:r>
    </w:p>
    <w:p>
      <w:pPr>
        <w:pStyle w:val="Normal"/>
        <w:jc w:val="center"/>
        <w:rPr>
          <w:rFonts w:eastAsia="Times New Roman"/>
        </w:rPr>
      </w:pPr>
      <w:r>
        <w:rPr>
          <w:rFonts w:eastAsia="Times New Roman"/>
        </w:rPr>
      </w:r>
    </w:p>
    <w:p>
      <w:pPr>
        <w:pStyle w:val="Normal"/>
        <w:jc w:val="center"/>
        <w:rPr>
          <w:rFonts w:eastAsia="Times New Roman"/>
        </w:rPr>
      </w:pPr>
      <w:r>
        <w:rPr>
          <w:rFonts w:eastAsia="Times New Roman"/>
        </w:rPr>
      </w:r>
    </w:p>
    <w:p>
      <w:pPr>
        <w:pStyle w:val="Normal"/>
        <w:jc w:val="center"/>
        <w:rPr>
          <w:rFonts w:eastAsia="Times New Roman"/>
        </w:rPr>
      </w:pPr>
      <w:r>
        <w:rPr>
          <w:rFonts w:eastAsia="Times New Roman"/>
        </w:rPr>
      </w:r>
    </w:p>
    <w:p>
      <w:pPr>
        <w:pStyle w:val="Normal"/>
        <w:jc w:val="center"/>
        <w:rPr>
          <w:rFonts w:eastAsia="Times New Roman"/>
        </w:rPr>
      </w:pPr>
      <w:r>
        <w:rPr>
          <w:rFonts w:eastAsia="Times New Roman"/>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943600" cy="2691130"/>
            <wp:effectExtent l="0" t="0" r="0" b="0"/>
            <wp:wrapSquare wrapText="largest"/>
            <wp:docPr id="12"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3" descr=""/>
                    <pic:cNvPicPr>
                      <a:picLocks noChangeAspect="1" noChangeArrowheads="1"/>
                    </pic:cNvPicPr>
                  </pic:nvPicPr>
                  <pic:blipFill>
                    <a:blip r:embed="rId14"/>
                    <a:stretch>
                      <a:fillRect/>
                    </a:stretch>
                  </pic:blipFill>
                  <pic:spPr bwMode="auto">
                    <a:xfrm>
                      <a:off x="0" y="0"/>
                      <a:ext cx="5943600" cy="2691130"/>
                    </a:xfrm>
                    <a:prstGeom prst="rect">
                      <a:avLst/>
                    </a:prstGeom>
                  </pic:spPr>
                </pic:pic>
              </a:graphicData>
            </a:graphic>
          </wp:anchor>
        </w:drawing>
      </w:r>
    </w:p>
    <w:p>
      <w:pPr>
        <w:pStyle w:val="Caption1"/>
        <w:jc w:val="center"/>
        <w:rPr>
          <w:rFonts w:eastAsia="Times New Roman"/>
        </w:rPr>
      </w:pPr>
      <w:r>
        <w:rPr/>
        <w:t xml:space="preserve">Figure 11 </w:t>
      </w:r>
      <w:r>
        <w:rPr>
          <w:rFonts w:eastAsia="Times New Roman"/>
          <w:b w:val="false"/>
          <w:bCs/>
        </w:rPr>
        <w:t>Comparison of actual and predicted band gap values in the test data</w:t>
      </w:r>
    </w:p>
    <w:p>
      <w:pPr>
        <w:pStyle w:val="Normal"/>
        <w:spacing w:lineRule="auto" w:line="360" w:before="240" w:after="240"/>
        <w:jc w:val="center"/>
        <w:rPr>
          <w:rFonts w:eastAsia="Times New Roman"/>
        </w:rPr>
      </w:pPr>
      <w:r>
        <w:rPr>
          <w:rFonts w:eastAsia="Times New Roman"/>
        </w:rPr>
      </w:r>
    </w:p>
    <w:p>
      <w:pPr>
        <w:pStyle w:val="Normal"/>
        <w:keepNext w:val="true"/>
        <w:spacing w:lineRule="auto" w:line="360" w:before="240" w:after="240"/>
        <w:jc w:val="center"/>
        <w:rPr/>
      </w:pPr>
      <w:r>
        <w:rPr/>
        <w:drawing>
          <wp:anchor behindDoc="0" distT="0" distB="0" distL="0" distR="0" simplePos="0" locked="0" layoutInCell="0" allowOverlap="1" relativeHeight="14">
            <wp:simplePos x="0" y="0"/>
            <wp:positionH relativeFrom="column">
              <wp:posOffset>0</wp:posOffset>
            </wp:positionH>
            <wp:positionV relativeFrom="paragraph">
              <wp:posOffset>363855</wp:posOffset>
            </wp:positionV>
            <wp:extent cx="5943600" cy="2266315"/>
            <wp:effectExtent l="0" t="0" r="0" b="0"/>
            <wp:wrapSquare wrapText="largest"/>
            <wp:docPr id="1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8" descr=""/>
                    <pic:cNvPicPr>
                      <a:picLocks noChangeAspect="1" noChangeArrowheads="1"/>
                    </pic:cNvPicPr>
                  </pic:nvPicPr>
                  <pic:blipFill>
                    <a:blip r:embed="rId15"/>
                    <a:stretch>
                      <a:fillRect/>
                    </a:stretch>
                  </pic:blipFill>
                  <pic:spPr bwMode="auto">
                    <a:xfrm>
                      <a:off x="0" y="0"/>
                      <a:ext cx="5943600" cy="2266315"/>
                    </a:xfrm>
                    <a:prstGeom prst="rect">
                      <a:avLst/>
                    </a:prstGeom>
                  </pic:spPr>
                </pic:pic>
              </a:graphicData>
            </a:graphic>
          </wp:anchor>
        </w:drawing>
      </w:r>
    </w:p>
    <w:p>
      <w:pPr>
        <w:pStyle w:val="Caption1"/>
        <w:jc w:val="center"/>
        <w:rPr>
          <w:rFonts w:eastAsia="Times New Roman"/>
          <w:b w:val="false"/>
          <w:b w:val="false"/>
          <w:bCs/>
        </w:rPr>
      </w:pPr>
      <w:r>
        <w:rPr/>
        <w:t>Figure 12</w:t>
      </w:r>
      <w:r>
        <w:rPr>
          <w:rFonts w:eastAsia="Times New Roman"/>
        </w:rPr>
        <w:t xml:space="preserve">  </w:t>
      </w:r>
      <w:r>
        <w:rPr>
          <w:rFonts w:eastAsia="Times New Roman"/>
          <w:b w:val="false"/>
          <w:bCs/>
        </w:rPr>
        <w:t>Comparison of actual and predicted formation energy values in the test data</w:t>
      </w:r>
    </w:p>
    <w:p>
      <w:pPr>
        <w:pStyle w:val="Normal"/>
        <w:jc w:val="center"/>
        <w:rPr>
          <w:rFonts w:eastAsia="Times New Roman"/>
          <w:b w:val="false"/>
          <w:b w:val="false"/>
          <w:bCs/>
        </w:rPr>
      </w:pPr>
      <w:r>
        <w:rPr>
          <w:rFonts w:eastAsia="Times New Roman"/>
          <w:b w:val="false"/>
          <w:bCs/>
        </w:rPr>
      </w:r>
    </w:p>
    <w:p>
      <w:pPr>
        <w:pStyle w:val="Normal"/>
        <w:jc w:val="center"/>
        <w:rPr>
          <w:rFonts w:eastAsia="Times New Roman"/>
          <w:b w:val="false"/>
          <w:b w:val="false"/>
          <w:bCs/>
        </w:rPr>
      </w:pPr>
      <w:r>
        <w:rPr>
          <w:rFonts w:eastAsia="Times New Roman"/>
          <w:b w:val="false"/>
          <w:bCs/>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943600" cy="2392680"/>
            <wp:effectExtent l="0" t="0" r="0" b="0"/>
            <wp:wrapSquare wrapText="largest"/>
            <wp:docPr id="14"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descr=""/>
                    <pic:cNvPicPr>
                      <a:picLocks noChangeAspect="1" noChangeArrowheads="1"/>
                    </pic:cNvPicPr>
                  </pic:nvPicPr>
                  <pic:blipFill>
                    <a:blip r:embed="rId16"/>
                    <a:stretch>
                      <a:fillRect/>
                    </a:stretch>
                  </pic:blipFill>
                  <pic:spPr bwMode="auto">
                    <a:xfrm>
                      <a:off x="0" y="0"/>
                      <a:ext cx="5943600" cy="2392680"/>
                    </a:xfrm>
                    <a:prstGeom prst="rect">
                      <a:avLst/>
                    </a:prstGeom>
                  </pic:spPr>
                </pic:pic>
              </a:graphicData>
            </a:graphic>
          </wp:anchor>
        </w:drawing>
      </w:r>
    </w:p>
    <w:p>
      <w:pPr>
        <w:pStyle w:val="Normal"/>
        <w:jc w:val="center"/>
        <w:rPr/>
      </w:pPr>
      <w:r>
        <w:rPr/>
      </w:r>
    </w:p>
    <w:p>
      <w:pPr>
        <w:pStyle w:val="Caption1"/>
        <w:jc w:val="center"/>
        <w:rPr>
          <w:rFonts w:eastAsia="Times New Roman"/>
        </w:rPr>
      </w:pPr>
      <w:r>
        <w:rPr/>
        <w:t xml:space="preserve">Figure 13 </w:t>
      </w:r>
      <w:r>
        <w:rPr>
          <w:rFonts w:eastAsia="Times New Roman"/>
          <w:b w:val="false"/>
          <w:bCs/>
        </w:rPr>
        <w:t>Comparison of actual and predicted bulk modulus values in the test data</w:t>
      </w:r>
    </w:p>
    <w:p>
      <w:pPr>
        <w:pStyle w:val="Caption1"/>
        <w:jc w:val="center"/>
        <w:rPr>
          <w:rFonts w:eastAsia="Times New Roman"/>
          <w:b w:val="false"/>
          <w:b w:val="false"/>
          <w:bCs/>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943600" cy="2392680"/>
            <wp:effectExtent l="0" t="0" r="0" b="0"/>
            <wp:wrapSquare wrapText="largest"/>
            <wp:docPr id="1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descr=""/>
                    <pic:cNvPicPr>
                      <a:picLocks noChangeAspect="1" noChangeArrowheads="1"/>
                    </pic:cNvPicPr>
                  </pic:nvPicPr>
                  <pic:blipFill>
                    <a:blip r:embed="rId17"/>
                    <a:stretch>
                      <a:fillRect/>
                    </a:stretch>
                  </pic:blipFill>
                  <pic:spPr bwMode="auto">
                    <a:xfrm>
                      <a:off x="0" y="0"/>
                      <a:ext cx="5943600" cy="2392680"/>
                    </a:xfrm>
                    <a:prstGeom prst="rect">
                      <a:avLst/>
                    </a:prstGeom>
                  </pic:spPr>
                </pic:pic>
              </a:graphicData>
            </a:graphic>
          </wp:anchor>
        </w:drawing>
      </w:r>
      <w:r>
        <w:rPr/>
        <w:t xml:space="preserve">Figure 14 </w:t>
      </w:r>
      <w:r>
        <w:rPr>
          <w:rFonts w:eastAsia="Times New Roman"/>
          <w:b w:val="false"/>
          <w:bCs/>
        </w:rPr>
        <w:t>Comparison of actual and predicted shear modulus values in the test data</w:t>
      </w:r>
    </w:p>
    <w:p>
      <w:pPr>
        <w:pStyle w:val="Normal"/>
        <w:spacing w:lineRule="auto" w:line="360" w:before="100" w:after="300"/>
        <w:rPr>
          <w:rFonts w:eastAsia="Times New Roman"/>
          <w:b/>
          <w:b/>
          <w:bCs/>
        </w:rPr>
      </w:pPr>
      <w:r>
        <w:rPr>
          <w:rFonts w:eastAsia="Times New Roman"/>
          <w:b/>
          <w:bCs/>
        </w:rPr>
        <w:t xml:space="preserve">3.3 Screening of Li-S Cathode Candidate Materials </w:t>
      </w:r>
    </w:p>
    <w:p>
      <w:pPr>
        <w:pStyle w:val="Normal"/>
        <w:jc w:val="both"/>
        <w:rPr>
          <w:rFonts w:eastAsia="Times New Roman"/>
          <w:lang w:val="en-US"/>
        </w:rPr>
      </w:pPr>
      <w:r>
        <w:rPr>
          <w:rFonts w:eastAsia="Times New Roman"/>
          <w:lang w:val="en-US"/>
        </w:rPr>
        <w:t>After training, the model was tested on five TPMS topologies: Primitive, Diamond, Gyroid, IWP, and Neovius. The CGCNN model learns the relationship between structural geometry and material properties, even though all structures share the same composition. The model's generalization capability across different structures, a crucial factor for reliable screening applications such as identifying host material candidates for LiSB cathodes, has been confirmed in these findings. Moreover, the CGCNN framework offers an efficient strategy for accelerating the identification of potential LiSB cathode host materials from large material databases. Thus, extensive first-principles calculations or experimental screening are reduced.</w:t>
      </w:r>
    </w:p>
    <w:p>
      <w:pPr>
        <w:pStyle w:val="Normal"/>
        <w:spacing w:lineRule="auto" w:line="360" w:before="240" w:after="240"/>
        <w:jc w:val="both"/>
        <w:rPr>
          <w:rFonts w:eastAsia="Times New Roman"/>
          <w:b/>
          <w:b/>
          <w:bCs/>
        </w:rPr>
      </w:pPr>
      <w:r>
        <w:rPr>
          <w:rFonts w:eastAsia="Times New Roman"/>
          <w:b/>
          <w:bCs/>
        </w:rPr>
        <w:t xml:space="preserve">3.4 Discussion of Top Five TPMS Ranked Li-S cathode Host Materials  </w:t>
      </w:r>
    </w:p>
    <w:p>
      <w:pPr>
        <w:pStyle w:val="Normal"/>
        <w:spacing w:lineRule="auto" w:line="360" w:before="240" w:after="240"/>
        <w:jc w:val="both"/>
        <w:rPr>
          <w:rFonts w:eastAsia="Times New Roman"/>
        </w:rPr>
      </w:pPr>
      <w:r>
        <w:rPr>
          <w:rFonts w:eastAsia="Times New Roman"/>
        </w:rPr>
        <w:t xml:space="preserve">Following the evaluation of the CGCNN model on the five TPMS-based graphene structures, the results (Figure 15) show that the Gyroid structure achieves the highest suitability score, followed by Neovius (0.60), Diamond (0.55), IWP (0.51), and Primitive (0.40). The scoring was integrated with the predicted values of band gap, formation energy, and bulk and shear moduli. The high score of the Gyroid structure can be attributed to its balanced combination of electronic and mechanical properties, including a low band gap of 0.06 eV, a high bulk modulus of 277.335 GPa, and a high shear modulus of 163.830 GPa. Although Neovius has a lower band gap and higher bulk modulus, its shear modulus is low. Therefore, the Gyroid also provides the most balanced combination of electronic and mechanical properties among the investigated TPMS structures. These results are consistent with previous studies that report the favorable mechanical properties of the Gyroid structure </w:t>
      </w:r>
      <w:r>
        <w:fldChar w:fldCharType="begin"/>
      </w:r>
      <w:r>
        <w:rPr>
          <w:rFonts w:eastAsia="Times New Roman"/>
        </w:rPr>
        <w:instrText xml:space="preserve">ADDIN ZOTERO_ITEM CSL_CITATION {"citationID":"XswXmNyw","properties":{"unsorted":false,"formattedCitation":"[28], [29], [30]","plainCitation":"[28], [29], [30]","noteIndex":0},"citationItems":[{"id":484,"uris":["http://zotero.org/users/21185978/items/FEUEIHCN"],"itemData":{"id":484,"type":"article-journal","container-title":"Applied Thermal Engineering","DOI":"10.1016/j.applthermaleng.2025.127481","journalAbbreviation":"Applied Thermal Engineering","page":"127481","title":"Advances in triply periodic minimal surface structures for thermal management systems: a comprehensive review","volume":"279","author":[{"family":"Wang","given":"H."},{"family":"Zhao","given":"C."},{"family":"Liu","given":"W."},{"family":"Liu","given":"Z."},{"family":"Bian","given":"H."},{"family":"Zhang","given":"K."}],"issued":{"date-parts":[["2025",11]]}}},{"id":480,"uris":["http://zotero.org/users/21185978/items/N99496VX"],"itemData":{"id":480,"type":"article-journal","container-title":"Scientific Reports","DOI":"10.1038/s41598-026-35201-5","issue":"1","journalAbbreviation":"Scientific Reports","page":"4373","title":"Orientation driven design and mechanical optimization of gyroid TPMS lattice structures","volume":"16","author":[{"family":"El-Asfoury","given":"M. S."},{"family":"El-Bedwehy","given":"N. E."},{"family":"Shazly","given":"M."},{"family":"Elkaseer","given":"A."}],"issued":{"date-parts":[["2026",1]]}}},{"id":483,"uris":["http://zotero.org/users/21185978/items/KKINUTS4"],"itemData":{"id":483,"type":"article-journal","container-title":"Polymers","DOI":"10.3390/polym17243307","issue":"24","journalAbbreviation":"Polymers","page":"3307","title":"An Overview of Additive Manufacturing of Triply Periodic Minimal Surface (TPMS) Structures","volume":"17","author":[{"family":"Hossain","given":"M. S."},{"family":"Hossain","given":"M. M."},{"family":"Nilufar","given":"S."}],"issued":{"date-parts":[["2025",1]]}}}],"schema":"https://github.com/citation-style-language/schema/raw/master/csl-citation.json"}</w:instrText>
      </w:r>
      <w:r>
        <w:rPr>
          <w:rFonts w:eastAsia="Times New Roman"/>
        </w:rPr>
      </w:r>
      <w:r>
        <w:rPr>
          <w:rFonts w:eastAsia="Times New Roman"/>
        </w:rPr>
        <w:fldChar w:fldCharType="separate"/>
      </w:r>
      <w:r>
        <w:rPr>
          <w:rFonts w:eastAsia="Times New Roman"/>
        </w:rPr>
      </w:r>
      <w:r>
        <w:rPr/>
        <w:t>[28], [29], [30]</w:t>
      </w:r>
      <w:r>
        <w:rPr>
          <w:rFonts w:eastAsia="Times New Roman"/>
        </w:rPr>
      </w:r>
      <w:r>
        <w:rPr>
          <w:rFonts w:eastAsia="Times New Roman"/>
        </w:rPr>
        <w:fldChar w:fldCharType="end"/>
      </w:r>
      <w:r>
        <w:rPr>
          <w:rFonts w:eastAsia="Times New Roman"/>
        </w:rPr>
        <w:t xml:space="preserve">. Furthermore, the predicted band gap is within the range reported in the literature, indicating that the CGCNN model provides a realistic prediction and can also serve as an initial tool for screening material candidates. These results show that the Gyroid is a promising TPMS candidate for cathode LiSB by addressing electrical conductivity and mechanical stability. </w:t>
      </w:r>
    </w:p>
    <w:p>
      <w:pPr>
        <w:pStyle w:val="Normal"/>
        <w:spacing w:lineRule="auto" w:line="360" w:before="240" w:after="240"/>
        <w:jc w:val="both"/>
        <w:rPr>
          <w:rFonts w:eastAsia="Times New Roman"/>
        </w:rPr>
      </w:pPr>
      <w:r>
        <w:rPr>
          <w:rFonts w:eastAsia="Times New Roman"/>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3719830"/>
            <wp:effectExtent l="0" t="0" r="0" b="0"/>
            <wp:wrapSquare wrapText="largest"/>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18"/>
                    <a:stretch>
                      <a:fillRect/>
                    </a:stretch>
                  </pic:blipFill>
                  <pic:spPr bwMode="auto">
                    <a:xfrm>
                      <a:off x="0" y="0"/>
                      <a:ext cx="5943600" cy="3719830"/>
                    </a:xfrm>
                    <a:prstGeom prst="rect">
                      <a:avLst/>
                    </a:prstGeom>
                  </pic:spPr>
                </pic:pic>
              </a:graphicData>
            </a:graphic>
          </wp:anchor>
        </w:drawing>
        <w:drawing>
          <wp:anchor behindDoc="0" distT="0" distB="0" distL="0" distR="0" simplePos="0" locked="0" layoutInCell="0" allowOverlap="1" relativeHeight="17">
            <wp:simplePos x="0" y="0"/>
            <wp:positionH relativeFrom="column">
              <wp:posOffset>898525</wp:posOffset>
            </wp:positionH>
            <wp:positionV relativeFrom="paragraph">
              <wp:posOffset>3745230</wp:posOffset>
            </wp:positionV>
            <wp:extent cx="3933825" cy="2865120"/>
            <wp:effectExtent l="0" t="0" r="0" b="0"/>
            <wp:wrapNone/>
            <wp:docPr id="1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descr=""/>
                    <pic:cNvPicPr>
                      <a:picLocks noChangeAspect="1" noChangeArrowheads="1"/>
                    </pic:cNvPicPr>
                  </pic:nvPicPr>
                  <pic:blipFill>
                    <a:blip r:embed="rId19"/>
                    <a:stretch>
                      <a:fillRect/>
                    </a:stretch>
                  </pic:blipFill>
                  <pic:spPr bwMode="auto">
                    <a:xfrm>
                      <a:off x="0" y="0"/>
                      <a:ext cx="3933825" cy="2865120"/>
                    </a:xfrm>
                    <a:prstGeom prst="rect">
                      <a:avLst/>
                    </a:prstGeom>
                  </pic:spPr>
                </pic:pic>
              </a:graphicData>
            </a:graphic>
          </wp:anchor>
        </w:drawing>
      </w:r>
    </w:p>
    <w:p>
      <w:pPr>
        <w:pStyle w:val="Normal"/>
        <w:keepNext w:val="true"/>
        <w:spacing w:lineRule="auto" w:line="360" w:before="240" w:after="240"/>
        <w:jc w:val="center"/>
        <w:rPr/>
      </w:pPr>
      <w:r>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rFonts w:eastAsia="Times New Roman"/>
          <w:i/>
        </w:rPr>
      </w:r>
    </w:p>
    <w:p>
      <w:pPr>
        <w:pStyle w:val="Caption1"/>
        <w:jc w:val="center"/>
        <w:rPr>
          <w:rFonts w:eastAsia="Times New Roman"/>
          <w:i/>
          <w:i/>
        </w:rPr>
      </w:pPr>
      <w:r>
        <w:rPr/>
        <w:t xml:space="preserve">Figure 15 </w:t>
      </w:r>
      <w:r>
        <w:rPr>
          <w:rFonts w:eastAsia="Times New Roman"/>
          <w:b w:val="false"/>
          <w:bCs/>
          <w:iCs w:val="false"/>
        </w:rPr>
        <w:t>Top Five Materials Project candidates ranked according to the predicted Li–S host suitability score.</w:t>
      </w:r>
    </w:p>
    <w:p>
      <w:pPr>
        <w:pStyle w:val="Normal"/>
        <w:jc w:val="center"/>
        <w:rPr>
          <w:rFonts w:eastAsia="Times New Roman"/>
          <w:i/>
          <w:i/>
        </w:rPr>
      </w:pPr>
      <w:r>
        <w:rPr>
          <w:rFonts w:eastAsia="Times New Roman"/>
          <w:i/>
        </w:rPr>
      </w:r>
    </w:p>
    <w:p>
      <w:pPr>
        <w:pStyle w:val="Normal"/>
        <w:jc w:val="center"/>
        <w:rPr>
          <w:rFonts w:eastAsia="Times New Roman"/>
          <w:i/>
          <w:i/>
        </w:rPr>
      </w:pPr>
      <w:r>
        <w:rPr>
          <w:rFonts w:eastAsia="Times New Roman"/>
          <w:i/>
        </w:rPr>
      </w:r>
    </w:p>
    <w:p>
      <w:pPr>
        <w:pStyle w:val="Normal"/>
        <w:jc w:val="center"/>
        <w:rPr>
          <w:rFonts w:eastAsia="Times New Roman"/>
          <w:i/>
          <w:i/>
        </w:rPr>
      </w:pPr>
      <w:r>
        <w:rPr>
          <w:rFonts w:eastAsia="Times New Roman"/>
          <w:i/>
        </w:rPr>
      </w:r>
    </w:p>
    <w:p>
      <w:pPr>
        <w:pStyle w:val="Normal"/>
        <w:jc w:val="center"/>
        <w:rPr>
          <w:rFonts w:eastAsia="Times New Roman"/>
          <w:i/>
          <w:i/>
        </w:rPr>
      </w:pPr>
      <w:r>
        <w:rPr>
          <w:rFonts w:eastAsia="Times New Roman"/>
          <w:i/>
        </w:rPr>
      </w:r>
    </w:p>
    <w:p>
      <w:pPr>
        <w:pStyle w:val="Normal"/>
        <w:jc w:val="center"/>
        <w:rPr>
          <w:rFonts w:eastAsia="Times New Roman"/>
          <w:i/>
          <w:i/>
        </w:rPr>
      </w:pPr>
      <w:r>
        <w:rPr>
          <w:rFonts w:eastAsia="Times New Roman"/>
          <w:i/>
        </w:rPr>
      </w:r>
    </w:p>
    <w:p>
      <w:pPr>
        <w:pStyle w:val="Normal"/>
        <w:jc w:val="center"/>
        <w:rPr>
          <w:rFonts w:eastAsia="Times New Roman"/>
          <w:i/>
          <w:i/>
        </w:rPr>
      </w:pPr>
      <w:r>
        <w:rPr>
          <w:rFonts w:eastAsia="Times New Roman"/>
          <w:i/>
        </w:rPr>
      </w:r>
    </w:p>
    <w:p>
      <w:pPr>
        <w:pStyle w:val="Normal"/>
        <w:spacing w:lineRule="auto" w:line="360" w:before="240" w:after="240"/>
        <w:rPr>
          <w:rFonts w:eastAsia="Times New Roman"/>
        </w:rPr>
      </w:pPr>
      <w:r>
        <w:rPr>
          <w:rFonts w:eastAsia="Times New Roman"/>
          <w:b/>
          <w:bCs/>
        </w:rPr>
        <w:t xml:space="preserve">Conclusions </w:t>
      </w:r>
      <w:r>
        <w:rPr>
          <w:rFonts w:eastAsia="Times New Roman"/>
        </w:rPr>
        <w:tab/>
      </w:r>
    </w:p>
    <w:p>
      <w:pPr>
        <w:pStyle w:val="Normal"/>
        <w:spacing w:lineRule="auto" w:line="360" w:before="240" w:after="240"/>
        <w:jc w:val="both"/>
        <w:rPr>
          <w:rFonts w:eastAsia="Times New Roman"/>
        </w:rPr>
      </w:pPr>
      <w:r>
        <w:rPr>
          <w:rFonts w:eastAsia="Times New Roman"/>
        </w:rPr>
        <w:t>The crystalline material properties can be predicted simultaneously using the Crystal Graph Convolutional Neural Network, which serves as a screening method for LiSB cathode host materials. The properties tested in this model are band gap, formation energy, bulk modulus, and shear modulus. Across all four properties, CGCNN performance shows the highest prediction accuracy for band gap (R</w:t>
      </w:r>
      <w:r>
        <w:rPr>
          <w:rFonts w:eastAsia="Times New Roman"/>
          <w:vertAlign w:val="superscript"/>
        </w:rPr>
        <w:t>2</w:t>
      </w:r>
      <w:r>
        <w:rPr>
          <w:rFonts w:eastAsia="Times New Roman"/>
        </w:rPr>
        <w:t xml:space="preserve"> = 0.9976, Pearson correlation = 0.9990), followed by formation energy (R</w:t>
      </w:r>
      <w:r>
        <w:rPr>
          <w:rFonts w:eastAsia="Times New Roman"/>
          <w:vertAlign w:val="superscript"/>
        </w:rPr>
        <w:t>2</w:t>
      </w:r>
      <w:r>
        <w:rPr>
          <w:rFonts w:eastAsia="Times New Roman"/>
        </w:rPr>
        <w:t xml:space="preserve"> = 0.9965), bulk modulus (R</w:t>
      </w:r>
      <w:r>
        <w:rPr>
          <w:rFonts w:eastAsia="Times New Roman"/>
          <w:vertAlign w:val="superscript"/>
        </w:rPr>
        <w:t>2</w:t>
      </w:r>
      <w:r>
        <w:rPr>
          <w:rFonts w:eastAsia="Times New Roman"/>
        </w:rPr>
        <w:t xml:space="preserve"> = 0.9890), and shear modulus (R</w:t>
      </w:r>
      <w:r>
        <w:rPr>
          <w:rFonts w:eastAsia="Times New Roman"/>
          <w:vertAlign w:val="superscript"/>
        </w:rPr>
        <w:t>2</w:t>
      </w:r>
      <w:r>
        <w:rPr>
          <w:rFonts w:eastAsia="Times New Roman"/>
        </w:rPr>
        <w:t xml:space="preserve"> = 0.9823). The model learns effectively and generalizes well, with no indication of overfitting, as confirmed by the training, validation, and testing loss curves. </w:t>
      </w:r>
    </w:p>
    <w:p>
      <w:pPr>
        <w:pStyle w:val="Normal"/>
        <w:spacing w:lineRule="auto" w:line="360" w:before="240" w:after="240"/>
        <w:jc w:val="both"/>
        <w:rPr>
          <w:rFonts w:eastAsia="Times New Roman"/>
        </w:rPr>
      </w:pPr>
      <w:r>
        <w:rPr>
          <w:rFonts w:eastAsia="Times New Roman"/>
        </w:rPr>
        <w:t xml:space="preserve">The validated model was used to screen materials for five graphene structures based on Triply Periodic Minimal Surfaces (TPMS). Among all TPMS types, Gyroid shows the highest score (0.68) across all properties, followed by Neovius, Diamond, IWP, and Primitive. This indicates that Gyroid is the most promising LISB cathode host due to its low band gap and good mechanical properties. </w:t>
      </w:r>
    </w:p>
    <w:p>
      <w:pPr>
        <w:pStyle w:val="Normal"/>
        <w:spacing w:lineRule="auto" w:line="360" w:before="240" w:after="240"/>
        <w:jc w:val="both"/>
        <w:rPr>
          <w:rFonts w:eastAsia="Times New Roman"/>
        </w:rPr>
      </w:pPr>
      <w:r>
        <w:rPr>
          <w:rFonts w:eastAsia="Times New Roman"/>
        </w:rPr>
        <w:t>Overall, this study shows that CGCNN can assist DFT-based materials screening by rapidly predicting material properties and reducing the number of candidates that first-principles calculations must consider, given their high computational cost.</w:t>
      </w:r>
    </w:p>
    <w:p>
      <w:pPr>
        <w:pStyle w:val="Normal"/>
        <w:spacing w:lineRule="auto" w:line="360" w:before="240" w:after="240"/>
        <w:jc w:val="both"/>
        <w:rPr>
          <w:rFonts w:eastAsia="Times New Roman"/>
          <w:b/>
          <w:b/>
          <w:bCs/>
        </w:rPr>
      </w:pPr>
      <w:r>
        <w:rPr>
          <w:rFonts w:eastAsia="Times New Roman"/>
          <w:b/>
          <w:bCs/>
        </w:rPr>
        <w:t>Acknowledgments</w:t>
      </w:r>
    </w:p>
    <w:p>
      <w:pPr>
        <w:pStyle w:val="Normal"/>
        <w:spacing w:lineRule="auto" w:line="360" w:before="240" w:after="240"/>
        <w:jc w:val="both"/>
        <w:rPr>
          <w:rFonts w:eastAsia="Times New Roman"/>
        </w:rPr>
      </w:pPr>
      <w:r>
        <w:rPr>
          <w:rFonts w:eastAsia="Times New Roman"/>
        </w:rPr>
        <w:t>The authors received no specific funding for this work and declare no conflict of interest regarding the publication of this paper.</w:t>
      </w:r>
    </w:p>
    <w:p>
      <w:pPr>
        <w:pStyle w:val="Normal"/>
        <w:spacing w:lineRule="auto" w:line="360" w:before="240" w:after="240"/>
        <w:jc w:val="both"/>
        <w:rPr>
          <w:rFonts w:eastAsia="Times New Roman"/>
        </w:rPr>
      </w:pPr>
      <w:r>
        <w:rPr>
          <w:rFonts w:eastAsia="Times New Roman"/>
        </w:rPr>
      </w:r>
    </w:p>
    <w:p>
      <w:pPr>
        <w:pStyle w:val="Normal"/>
        <w:spacing w:lineRule="auto" w:line="360" w:before="240" w:after="240"/>
        <w:jc w:val="both"/>
        <w:rPr>
          <w:rFonts w:eastAsia="Times New Roman"/>
          <w:b/>
          <w:b/>
          <w:bCs/>
        </w:rPr>
      </w:pPr>
      <w:r>
        <w:rPr>
          <w:rFonts w:eastAsia="Times New Roman"/>
          <w:b/>
          <w:bCs/>
        </w:rPr>
        <w:t>Data availability statement</w:t>
      </w:r>
    </w:p>
    <w:p>
      <w:pPr>
        <w:pStyle w:val="Normal"/>
        <w:spacing w:lineRule="auto" w:line="360" w:before="240" w:after="240"/>
        <w:jc w:val="both"/>
        <w:rPr>
          <w:rFonts w:eastAsia="Times New Roman"/>
        </w:rPr>
      </w:pPr>
      <w:r>
        <w:rPr>
          <w:rFonts w:eastAsia="Times New Roman"/>
        </w:rPr>
        <w:t>The data that support the findings of this study are available from the corresponding author upon reasonable request.</w:t>
      </w:r>
    </w:p>
    <w:p>
      <w:pPr>
        <w:pStyle w:val="Normal"/>
        <w:spacing w:lineRule="auto" w:line="360" w:before="240" w:after="240"/>
        <w:jc w:val="both"/>
        <w:rPr>
          <w:rFonts w:eastAsia="Times New Roman"/>
          <w:b/>
          <w:b/>
          <w:bCs/>
        </w:rPr>
      </w:pPr>
      <w:r>
        <w:rPr>
          <w:rFonts w:eastAsia="Times New Roman"/>
          <w:b/>
          <w:bCs/>
        </w:rPr>
        <w:t>Author contributions</w:t>
      </w:r>
    </w:p>
    <w:p>
      <w:pPr>
        <w:pStyle w:val="Normal"/>
        <w:spacing w:lineRule="auto" w:line="360" w:before="240" w:after="240"/>
        <w:jc w:val="both"/>
        <w:rPr>
          <w:rFonts w:eastAsia="Times New Roman"/>
        </w:rPr>
      </w:pPr>
      <w:r>
        <w:rPr>
          <w:rFonts w:eastAsia="Times New Roman"/>
        </w:rPr>
        <w:t xml:space="preserve">Muhammad Amarus Salam (M.A.S): Data Curation, Investigation, Acquisition, Writing, Analysis. </w:t>
      </w:r>
    </w:p>
    <w:p>
      <w:pPr>
        <w:pStyle w:val="Normal"/>
        <w:spacing w:lineRule="auto" w:line="360" w:before="240" w:after="240"/>
        <w:jc w:val="both"/>
        <w:rPr>
          <w:rFonts w:eastAsia="Times New Roman"/>
        </w:rPr>
      </w:pPr>
      <w:r>
        <w:rPr>
          <w:rFonts w:eastAsia="Times New Roman"/>
        </w:rPr>
        <w:t xml:space="preserve">Mauludi Ariesto Pamungkas (M.A.P): Conceptualisation, Formal Analysis, Methodology, Supervision, Investigation, Writing – Review &amp; Editing. </w:t>
      </w:r>
    </w:p>
    <w:p>
      <w:pPr>
        <w:pStyle w:val="Normal"/>
        <w:spacing w:lineRule="auto" w:line="360" w:before="240" w:after="240"/>
        <w:jc w:val="both"/>
        <w:rPr>
          <w:rFonts w:eastAsia="Times New Roman"/>
        </w:rPr>
      </w:pPr>
      <w:r>
        <w:rPr>
          <w:rFonts w:eastAsia="Times New Roman"/>
        </w:rPr>
        <w:t>Muhammad Hilmy Alfaruqi (M.H.A): Review &amp; Editing, Supervision.</w:t>
      </w:r>
    </w:p>
    <w:p>
      <w:pPr>
        <w:pStyle w:val="Normal"/>
        <w:spacing w:lineRule="auto" w:line="360" w:before="240" w:after="240"/>
        <w:jc w:val="both"/>
        <w:rPr>
          <w:rFonts w:eastAsia="Times New Roman"/>
        </w:rPr>
      </w:pPr>
      <w:r>
        <w:rPr>
          <w:rFonts w:eastAsia="Times New Roman"/>
        </w:rPr>
      </w:r>
    </w:p>
    <w:p>
      <w:pPr>
        <w:pStyle w:val="Normal"/>
        <w:spacing w:lineRule="auto" w:line="360" w:before="240" w:after="240"/>
        <w:jc w:val="both"/>
        <w:rPr>
          <w:rFonts w:eastAsia="Times New Roman"/>
          <w:b/>
          <w:b/>
          <w:bCs/>
        </w:rPr>
      </w:pPr>
      <w:r>
        <w:rPr>
          <w:rFonts w:eastAsia="Times New Roman"/>
          <w:b/>
          <w:bCs/>
        </w:rPr>
        <w:t xml:space="preserve">References  </w:t>
      </w:r>
    </w:p>
    <w:p>
      <w:pPr>
        <w:pStyle w:val="Bibliografi1"/>
        <w:jc w:val="both"/>
        <w:rPr/>
      </w:pPr>
      <w:r>
        <w:fldChar w:fldCharType="begin"/>
      </w:r>
      <w:r>
        <w:rPr/>
        <w:instrText xml:space="preserve">ADDIN ZOTERO_BIBL {"uncited":[],"omitted":[],"custom":[]} CSL_BIBLIOGRAPHY</w:instrText>
      </w:r>
      <w:r>
        <w:rPr/>
      </w:r>
      <w:r>
        <w:rPr/>
        <w:fldChar w:fldCharType="separate"/>
      </w:r>
      <w:r>
        <w:rPr/>
        <w:t>[1]</w:t>
        <w:tab/>
        <w:t xml:space="preserve">F. M. N. U. Khan, M. G. Rasul, A. S. M. Sayem, and N. K. Mandal, “Design and optimization of lithium-ion battery as an efficient energy storage device for electric vehicles: A comprehensive review,” </w:t>
      </w:r>
      <w:r>
        <w:rPr>
          <w:i/>
          <w:iCs/>
        </w:rPr>
        <w:t>J. Energy Storage</w:t>
      </w:r>
      <w:r>
        <w:rPr/>
        <w:t>, vol. 71, p. 108033, Nov. 2023, doi: 10.1016/j.est.2023.108033.</w:t>
      </w:r>
    </w:p>
    <w:p>
      <w:pPr>
        <w:pStyle w:val="Bibliografi1"/>
        <w:jc w:val="both"/>
        <w:rPr/>
      </w:pPr>
      <w:r>
        <w:rPr/>
        <w:t>[2]</w:t>
        <w:tab/>
        <w:t xml:space="preserve">C.-D. Wei, H.-T. Xue, Q.-S. Zhao, Y.-X. Hu, and F.-L. Tang, “Uncovering the discharge structure evolution and electrochemical performance of sulfur cathode host 2D-Fe0.89M0.11S2 (M = Ti, V),” </w:t>
      </w:r>
      <w:r>
        <w:rPr>
          <w:i/>
          <w:iCs/>
        </w:rPr>
        <w:t>J. Energy Storage</w:t>
      </w:r>
      <w:r>
        <w:rPr/>
        <w:t>, vol. 87, p. 111419, May 2024, doi: 10.1016/j.est.2024.111419.</w:t>
      </w:r>
    </w:p>
    <w:p>
      <w:pPr>
        <w:pStyle w:val="Bibliografi1"/>
        <w:jc w:val="both"/>
        <w:rPr/>
      </w:pPr>
      <w:r>
        <w:rPr/>
        <w:t>[3]</w:t>
        <w:tab/>
        <w:t xml:space="preserve">A. Freitag, M. Stamm, and L. Ionov, “Separator for lithium-sulfur battery based on polymer blend membrane,” </w:t>
      </w:r>
      <w:r>
        <w:rPr>
          <w:i/>
          <w:iCs/>
        </w:rPr>
        <w:t>J. Power Sources</w:t>
      </w:r>
      <w:r>
        <w:rPr/>
        <w:t>, vol. 363, pp. 384–391, Sep. 2017, doi: 10.1016/j.jpowsour.2017.07.077.</w:t>
      </w:r>
    </w:p>
    <w:p>
      <w:pPr>
        <w:pStyle w:val="Bibliografi1"/>
        <w:jc w:val="both"/>
        <w:rPr/>
      </w:pPr>
      <w:r>
        <w:rPr/>
        <w:t>[4]</w:t>
        <w:tab/>
        <w:t xml:space="preserve">A. Narayan Singh and K.-W. Nam, “The rise of practical lithium-sulfur battery materials,” </w:t>
      </w:r>
      <w:r>
        <w:rPr>
          <w:i/>
          <w:iCs/>
        </w:rPr>
        <w:t>Chin. J. Catal.</w:t>
      </w:r>
      <w:r>
        <w:rPr/>
        <w:t>, vol. 83, pp. 96–131, Apr. 2026, doi: 10.1016/S1872-2067(26)64968-6.</w:t>
      </w:r>
    </w:p>
    <w:p>
      <w:pPr>
        <w:pStyle w:val="Bibliografi1"/>
        <w:jc w:val="both"/>
        <w:rPr/>
      </w:pPr>
      <w:r>
        <w:rPr/>
        <w:t>[5]</w:t>
        <w:tab/>
        <w:t xml:space="preserve">M. Khan, “Inside lithium–sulfur batteries: Real-time multimodal insights into structure and polysulfide dynamics,” </w:t>
      </w:r>
      <w:r>
        <w:rPr>
          <w:i/>
          <w:iCs/>
        </w:rPr>
        <w:t>Energy Storage Mater.</w:t>
      </w:r>
      <w:r>
        <w:rPr/>
        <w:t>, vol. 82, p. 104617, Oct. 2025, doi: 10.1016/j.ensm.2025.104617.</w:t>
      </w:r>
    </w:p>
    <w:p>
      <w:pPr>
        <w:pStyle w:val="Bibliografi1"/>
        <w:jc w:val="both"/>
        <w:rPr/>
      </w:pPr>
      <w:r>
        <w:rPr/>
        <w:t>[6]</w:t>
        <w:tab/>
        <w:t xml:space="preserve">U. M. Usman, A. K. Prajapati, A. Bhatnagar, and Shalu, “Cathode Design for High-Performance Li-S Batteries: A Brief Review,” </w:t>
      </w:r>
      <w:r>
        <w:rPr>
          <w:i/>
          <w:iCs/>
        </w:rPr>
        <w:t>ChemNanoMat</w:t>
      </w:r>
      <w:r>
        <w:rPr/>
        <w:t>, vol. 12, no. 1, 2026, doi: 10.1002/cnma.202500408.</w:t>
      </w:r>
    </w:p>
    <w:p>
      <w:pPr>
        <w:pStyle w:val="Bibliografi1"/>
        <w:jc w:val="both"/>
        <w:rPr/>
      </w:pPr>
      <w:r>
        <w:rPr/>
        <w:t>[7]</w:t>
        <w:tab/>
        <w:t xml:space="preserve">R. Mori, “Cathode materials for lithium-sulfur battery: a review,” </w:t>
      </w:r>
      <w:r>
        <w:rPr>
          <w:i/>
          <w:iCs/>
        </w:rPr>
        <w:t>J. Solid State Electrochem.</w:t>
      </w:r>
      <w:r>
        <w:rPr/>
        <w:t>, vol. 27, no. 4, pp. 813–839, Apr. 2023, doi: 10.1007/s10008-023-05387-z.</w:t>
      </w:r>
    </w:p>
    <w:p>
      <w:pPr>
        <w:pStyle w:val="Bibliografi1"/>
        <w:jc w:val="both"/>
        <w:rPr/>
      </w:pPr>
      <w:r>
        <w:rPr/>
        <w:t>[8]</w:t>
        <w:tab/>
        <w:t xml:space="preserve">C.-C. Wu, Y.-C. Ho, and S.-H. Chung, “A low-self-discharge high-loading polysulfide cathode design for lithium-sulfur cells,” </w:t>
      </w:r>
      <w:r>
        <w:rPr>
          <w:i/>
          <w:iCs/>
        </w:rPr>
        <w:t>J. Mater. Chem. A</w:t>
      </w:r>
      <w:r>
        <w:rPr/>
        <w:t>, vol. 11, pp. 24651–24660, 2023, doi: 10.1039/D3TA05233A.</w:t>
      </w:r>
    </w:p>
    <w:p>
      <w:pPr>
        <w:pStyle w:val="Bibliografi1"/>
        <w:jc w:val="both"/>
        <w:rPr/>
      </w:pPr>
      <w:r>
        <w:rPr/>
        <w:t>[9]</w:t>
        <w:tab/>
        <w:t xml:space="preserve">W. Ren, W. Ma, S. Zhang, and B. Tang, “Recent advances in shuttle effect inhibition for lithium sulfur batteries,” </w:t>
      </w:r>
      <w:r>
        <w:rPr>
          <w:i/>
          <w:iCs/>
        </w:rPr>
        <w:t>Energy Storage Mater.</w:t>
      </w:r>
      <w:r>
        <w:rPr/>
        <w:t>, vol. 23, pp. 707–732, Dec. 2019, doi: 10.1016/j.ensm.2019.02.022.</w:t>
      </w:r>
    </w:p>
    <w:p>
      <w:pPr>
        <w:pStyle w:val="Bibliografi1"/>
        <w:jc w:val="both"/>
        <w:rPr/>
      </w:pPr>
      <w:r>
        <w:rPr/>
        <w:t>[10]</w:t>
        <w:tab/>
        <w:t xml:space="preserve">S.-Y. Li, W.-P. Wang, H. Duan, and Y.-G. Guo, “Recent progress on confinement of polysulfides through physical and chemical methods,” </w:t>
      </w:r>
      <w:r>
        <w:rPr>
          <w:i/>
          <w:iCs/>
        </w:rPr>
        <w:t>J. Energy Chem.</w:t>
      </w:r>
      <w:r>
        <w:rPr/>
        <w:t>, vol. 27, no. 6, pp. 1555–1565, Nov. 2018, doi: 10.1016/j.jechem.2018.04.014.</w:t>
      </w:r>
    </w:p>
    <w:p>
      <w:pPr>
        <w:pStyle w:val="Bibliografi1"/>
        <w:jc w:val="both"/>
        <w:rPr/>
      </w:pPr>
      <w:r>
        <w:rPr/>
        <w:t>[11]</w:t>
        <w:tab/>
        <w:t xml:space="preserve">K. Coke, M. J. Johnson, J. B. Robinson, A. J. E. Rettie, T. S. Miller, and P. R. Shearing, “Illuminating Polysulfide Distribution in Lithium Sulfur Batteries; Tracking Polysulfide Shuttle Using Operando Optical Fluorescence Microscopy,” </w:t>
      </w:r>
      <w:r>
        <w:rPr>
          <w:i/>
          <w:iCs/>
        </w:rPr>
        <w:t>ACS Appl. Mater. Interfaces</w:t>
      </w:r>
      <w:r>
        <w:rPr/>
        <w:t>, vol. 16, no. 16, pp. 20329–20340, Apr. 2024, doi: 10.1021/acsami.3c14612.</w:t>
      </w:r>
    </w:p>
    <w:p>
      <w:pPr>
        <w:pStyle w:val="Bibliografi1"/>
        <w:jc w:val="both"/>
        <w:rPr/>
      </w:pPr>
      <w:r>
        <w:rPr/>
        <w:t>[12]</w:t>
        <w:tab/>
        <w:t xml:space="preserve">A. Dorai, J. Kawamura, and T. Omata, “Visualization of polysulfide dissolution in lithium-sulfur batteries using in-situ NMR microimaging,” </w:t>
      </w:r>
      <w:r>
        <w:rPr>
          <w:i/>
          <w:iCs/>
        </w:rPr>
        <w:t>Electrochem. Commun.</w:t>
      </w:r>
      <w:r>
        <w:rPr/>
        <w:t>, vol. 141, p. 107360, Aug. 2022, doi: 10.1016/j.elecom.2022.107360.</w:t>
      </w:r>
    </w:p>
    <w:p>
      <w:pPr>
        <w:pStyle w:val="Bibliografi1"/>
        <w:jc w:val="both"/>
        <w:rPr/>
      </w:pPr>
      <w:r>
        <w:rPr/>
        <w:t>[13]</w:t>
        <w:tab/>
        <w:t xml:space="preserve">S.-Y. Jung </w:t>
      </w:r>
      <w:r>
        <w:rPr>
          <w:i/>
          <w:iCs/>
        </w:rPr>
        <w:t>et al.</w:t>
      </w:r>
      <w:r>
        <w:rPr/>
        <w:t xml:space="preserve">, “Low-polarity solvent-mediated lithium metal stabilization for improved performance in lithium–sulfur batteries,” </w:t>
      </w:r>
      <w:r>
        <w:rPr>
          <w:i/>
          <w:iCs/>
        </w:rPr>
        <w:t>J. Energy Chem.</w:t>
      </w:r>
      <w:r>
        <w:rPr/>
        <w:t>, vol. 114, pp. 737–749, Mar. 2026, doi: 10.1016/j.jechem.2025.10.041.</w:t>
      </w:r>
    </w:p>
    <w:p>
      <w:pPr>
        <w:pStyle w:val="Bibliografi1"/>
        <w:jc w:val="both"/>
        <w:rPr/>
      </w:pPr>
      <w:r>
        <w:rPr/>
        <w:t>[14]</w:t>
        <w:tab/>
        <w:t>Z. Zhu, “Strategies for inhibiting the ‘shuttle effect’ in lithium</w:t>
      </w:r>
      <w:r>
        <w:rPr>
          <w:rFonts w:cs="Cambria Math" w:ascii="Cambria Math" w:hAnsi="Cambria Math"/>
        </w:rPr>
        <w:noBreakHyphen/>
      </w:r>
      <w:r>
        <w:rPr/>
        <w:t xml:space="preserve">sulfur batteries: surface/interface modulation and bulk phase optimization,” </w:t>
      </w:r>
      <w:r>
        <w:rPr>
          <w:i/>
          <w:iCs/>
        </w:rPr>
        <w:t>Coord. Chem. Rev.</w:t>
      </w:r>
      <w:r>
        <w:rPr/>
        <w:t>, vol. 548, p. 217220, Feb. 2026, doi: 10.1016/j.ccr.2025.217220.</w:t>
      </w:r>
    </w:p>
    <w:p>
      <w:pPr>
        <w:pStyle w:val="Bibliografi1"/>
        <w:jc w:val="both"/>
        <w:rPr/>
      </w:pPr>
      <w:r>
        <w:rPr/>
        <w:t>[15]</w:t>
        <w:tab/>
        <w:t xml:space="preserve">F. Zhou, “Bimetallic MOF-derived CNTs-grafted carbon nanocages as sulfur host for high-performance lithium–sulfur batteries,” </w:t>
      </w:r>
      <w:r>
        <w:rPr>
          <w:i/>
          <w:iCs/>
        </w:rPr>
        <w:t>Electrochimica Acta</w:t>
      </w:r>
      <w:r>
        <w:rPr/>
        <w:t>, vol. 349, p. 136378, Jul. 2020, doi: 10.1016/j.electacta.2020.136378.</w:t>
      </w:r>
    </w:p>
    <w:p>
      <w:pPr>
        <w:pStyle w:val="Bibliografi1"/>
        <w:jc w:val="both"/>
        <w:rPr/>
      </w:pPr>
      <w:r>
        <w:rPr/>
        <w:t>[16]</w:t>
        <w:tab/>
        <w:t xml:space="preserve">X. Geng, “Application of MXene-Based Materials for Cathode in Lithium-Sulfur Batteries,” </w:t>
      </w:r>
      <w:r>
        <w:rPr>
          <w:i/>
          <w:iCs/>
        </w:rPr>
        <w:t>Chem. - Eur. J.</w:t>
      </w:r>
      <w:r>
        <w:rPr/>
        <w:t>, 2024, doi: 10.1002/chem.202303451.</w:t>
      </w:r>
    </w:p>
    <w:p>
      <w:pPr>
        <w:pStyle w:val="Bibliografi1"/>
        <w:jc w:val="both"/>
        <w:rPr/>
      </w:pPr>
      <w:r>
        <w:rPr/>
        <w:t>[17]</w:t>
        <w:tab/>
        <w:t xml:space="preserve">C. M. Costa, V. M. Macedo, M. Salado, L. C. Fernandes, M. Zhao, and S. Lanceros-Méndez, “An overview of solid-state lithium metal batteries: Materials, properties and challenges,” </w:t>
      </w:r>
      <w:r>
        <w:rPr>
          <w:i/>
          <w:iCs/>
        </w:rPr>
        <w:t>EnergyChem</w:t>
      </w:r>
      <w:r>
        <w:rPr/>
        <w:t>, vol. 7, no. 5, p. 100169, Sep. 2025, doi: 10.1016/j.enchem.2025.100169.</w:t>
      </w:r>
    </w:p>
    <w:p>
      <w:pPr>
        <w:pStyle w:val="Bibliografi1"/>
        <w:jc w:val="both"/>
        <w:rPr/>
      </w:pPr>
      <w:r>
        <w:rPr/>
        <w:t>[18]</w:t>
        <w:tab/>
        <w:t xml:space="preserve">X. Niu, “A study of the structure and performance enhancement of MgNb co-doped LiFePO4 based on first principles,” </w:t>
      </w:r>
      <w:r>
        <w:rPr>
          <w:i/>
          <w:iCs/>
        </w:rPr>
        <w:t>Chem. Phys.</w:t>
      </w:r>
      <w:r>
        <w:rPr/>
        <w:t>, vol. 608, p. 113239, Sep. 2026, doi: 10.1016/j.chemphys.2026.113239.</w:t>
      </w:r>
    </w:p>
    <w:p>
      <w:pPr>
        <w:pStyle w:val="Bibliografi1"/>
        <w:jc w:val="both"/>
        <w:rPr/>
      </w:pPr>
      <w:r>
        <w:rPr/>
        <w:t>[19]</w:t>
        <w:tab/>
        <w:t xml:space="preserve">“Development of carbon materials for sulfur cathodes in inorganic-based solid-state lithium-sulfur batteries,” </w:t>
      </w:r>
      <w:r>
        <w:rPr>
          <w:i/>
          <w:iCs/>
        </w:rPr>
        <w:t>Can. J. Chem.</w:t>
      </w:r>
      <w:r>
        <w:rPr/>
        <w:t>, 2023, doi: 10.1139/cjc-2023-0012.</w:t>
      </w:r>
    </w:p>
    <w:p>
      <w:pPr>
        <w:pStyle w:val="Bibliografi1"/>
        <w:jc w:val="both"/>
        <w:rPr/>
      </w:pPr>
      <w:r>
        <w:rPr/>
        <w:t>[20]</w:t>
        <w:tab/>
        <w:t xml:space="preserve">L. Mao, “Advances in the density functional theory (DFT) calculation of lithium-sulfur battery cathodes,” </w:t>
      </w:r>
      <w:r>
        <w:rPr>
          <w:i/>
          <w:iCs/>
        </w:rPr>
        <w:t>Mater. Today Commun.</w:t>
      </w:r>
      <w:r>
        <w:rPr/>
        <w:t>, vol. 36, p. 106814, Aug. 2023, doi: 10.1016/j.mtcomm.2023.106814.</w:t>
      </w:r>
    </w:p>
    <w:p>
      <w:pPr>
        <w:pStyle w:val="Bibliografi1"/>
        <w:jc w:val="both"/>
        <w:rPr/>
      </w:pPr>
      <w:r>
        <w:rPr/>
        <w:t>[21]</w:t>
        <w:tab/>
        <w:t xml:space="preserve">D. Cai, “Design of coatings for sulfur-based cathode materials in lithium-sulfur batteries: a review,” </w:t>
      </w:r>
      <w:r>
        <w:rPr>
          <w:i/>
          <w:iCs/>
        </w:rPr>
        <w:t>Chem. - Asian J.</w:t>
      </w:r>
      <w:r>
        <w:rPr/>
        <w:t>, 2024, doi: 10.1002/asia.202400099.</w:t>
      </w:r>
    </w:p>
    <w:p>
      <w:pPr>
        <w:pStyle w:val="Bibliografi1"/>
        <w:jc w:val="both"/>
        <w:rPr/>
      </w:pPr>
      <w:r>
        <w:rPr/>
        <w:t>[22]</w:t>
        <w:tab/>
        <w:t xml:space="preserve">L. Song, M. Zhang, X. Cao, and J. Guo, “VX (X = S, Se) as anchoring materials for lithium-sulfur batteries – A theoretical study,” </w:t>
      </w:r>
      <w:r>
        <w:rPr>
          <w:i/>
          <w:iCs/>
        </w:rPr>
        <w:t>Comput. Mater. Sci.</w:t>
      </w:r>
      <w:r>
        <w:rPr/>
        <w:t>, vol. 210, p. 111040, Jul. 2022, doi: 10.1016/j.commatsci.2021.111040.</w:t>
      </w:r>
    </w:p>
    <w:p>
      <w:pPr>
        <w:pStyle w:val="Bibliografi1"/>
        <w:jc w:val="both"/>
        <w:rPr/>
      </w:pPr>
      <w:r>
        <w:rPr/>
        <w:t>[23]</w:t>
        <w:tab/>
        <w:t xml:space="preserve">X. Liu, “Design of disordered cathode hosts for lithium-sulfur batteries using two-dimensional sulfides,” </w:t>
      </w:r>
      <w:r>
        <w:rPr>
          <w:i/>
          <w:iCs/>
        </w:rPr>
        <w:t>Appl. Surf. Sci.</w:t>
      </w:r>
      <w:r>
        <w:rPr/>
        <w:t>, vol. 688, p. 162338, Apr. 2025, doi: 10.1016/j.apsusc.2025.162338.</w:t>
      </w:r>
    </w:p>
    <w:p>
      <w:pPr>
        <w:pStyle w:val="Bibliografi1"/>
        <w:jc w:val="both"/>
        <w:rPr/>
      </w:pPr>
      <w:r>
        <w:rPr/>
        <w:t>[24]</w:t>
        <w:tab/>
        <w:t xml:space="preserve">V. Ragavendran, “Machine learning-accelerated discovery of battery electrode materials for sustainable energy storage: A critical survey of DFT descriptors, benchmarked models and experimentally validated predictions in support of SDG 7 and SDG 9,” </w:t>
      </w:r>
      <w:r>
        <w:rPr>
          <w:i/>
          <w:iCs/>
        </w:rPr>
        <w:t>Comput. Condens. Matter</w:t>
      </w:r>
      <w:r>
        <w:rPr/>
        <w:t>, vol. 48, p. e01410, Oct. 2026, doi: 10.1016/j.cocom.2026.e01410.</w:t>
      </w:r>
    </w:p>
    <w:p>
      <w:pPr>
        <w:pStyle w:val="Bibliografi1"/>
        <w:jc w:val="both"/>
        <w:rPr/>
      </w:pPr>
      <w:r>
        <w:rPr/>
        <w:t>[25]</w:t>
        <w:tab/>
        <w:t xml:space="preserve">G. Xu, “Machine learning-accelerated discovery and design of electrode materials and electrolytes for lithium ion batteries,” </w:t>
      </w:r>
      <w:r>
        <w:rPr>
          <w:i/>
          <w:iCs/>
        </w:rPr>
        <w:t>Energy Storage Mater.</w:t>
      </w:r>
      <w:r>
        <w:rPr/>
        <w:t>, vol. 72, p. 103710, Sep. 2024, doi: 10.1016/j.ensm.2024.103710.</w:t>
      </w:r>
    </w:p>
    <w:p>
      <w:pPr>
        <w:pStyle w:val="Bibliografi1"/>
        <w:jc w:val="both"/>
        <w:rPr/>
      </w:pPr>
      <w:r>
        <w:rPr/>
        <w:t>[26]</w:t>
        <w:tab/>
        <w:t xml:space="preserve">T. Xu, “A machine learning-based crystal graph network and its application in development of functional materials,” </w:t>
      </w:r>
      <w:r>
        <w:rPr>
          <w:i/>
          <w:iCs/>
        </w:rPr>
        <w:t>Mater. Genome Eng. Adv.</w:t>
      </w:r>
      <w:r>
        <w:rPr/>
        <w:t>, 2024, doi: 10.1002/mgea.38.</w:t>
      </w:r>
    </w:p>
    <w:p>
      <w:pPr>
        <w:pStyle w:val="Bibliografi1"/>
        <w:jc w:val="both"/>
        <w:rPr/>
      </w:pPr>
      <w:r>
        <w:rPr/>
        <w:t>[27]</w:t>
        <w:tab/>
        <w:t xml:space="preserve">S. Singh, P. Joshi, A. Sharma, and A. Kashyap, “A simple feature enriched CGCNN for predicting magnetization in transition metal compounds,” </w:t>
      </w:r>
      <w:r>
        <w:rPr>
          <w:i/>
          <w:iCs/>
        </w:rPr>
        <w:t>J. Magn. Magn. Mater.</w:t>
      </w:r>
      <w:r>
        <w:rPr/>
        <w:t>, vol. 633, p. 173541, Nov. 2025, doi: 10.1016/j.jmmm.2025.173541.</w:t>
      </w:r>
    </w:p>
    <w:p>
      <w:pPr>
        <w:pStyle w:val="Bibliografi1"/>
        <w:jc w:val="both"/>
        <w:rPr/>
      </w:pPr>
      <w:r>
        <w:rPr/>
        <w:t>[28]</w:t>
        <w:tab/>
        <w:t xml:space="preserve">H. Wang, C. Zhao, W. Liu, Z. Liu, H. Bian, and K. Zhang, “Advances in triply periodic minimal surface structures for thermal management systems: a comprehensive review,” </w:t>
      </w:r>
      <w:r>
        <w:rPr>
          <w:i/>
          <w:iCs/>
        </w:rPr>
        <w:t>Appl. Therm. Eng.</w:t>
      </w:r>
      <w:r>
        <w:rPr/>
        <w:t>, vol. 279, p. 127481, Nov. 2025, doi: 10.1016/j.applthermaleng.2025.127481.</w:t>
      </w:r>
    </w:p>
    <w:p>
      <w:pPr>
        <w:pStyle w:val="Bibliografi1"/>
        <w:jc w:val="both"/>
        <w:rPr/>
      </w:pPr>
      <w:r>
        <w:rPr/>
        <w:t>[29]</w:t>
        <w:tab/>
        <w:t xml:space="preserve">M. S. El-Asfoury, N. E. El-Bedwehy, M. Shazly, and A. Elkaseer, “Orientation driven design and mechanical optimization of gyroid TPMS lattice structures,” </w:t>
      </w:r>
      <w:r>
        <w:rPr>
          <w:i/>
          <w:iCs/>
        </w:rPr>
        <w:t>Sci. Rep.</w:t>
      </w:r>
      <w:r>
        <w:rPr/>
        <w:t>, vol. 16, no. 1, p. 4373, Jan. 2026, doi: 10.1038/s41598-026-35201-5.</w:t>
      </w:r>
    </w:p>
    <w:p>
      <w:pPr>
        <w:pStyle w:val="Bibliografi1"/>
        <w:jc w:val="both"/>
        <w:rPr>
          <w:rFonts w:eastAsia="Times New Roman"/>
          <w:b/>
          <w:b/>
          <w:bCs/>
        </w:rPr>
      </w:pPr>
      <w:r>
        <w:rPr/>
        <w:t>[30]</w:t>
        <w:tab/>
        <w:t xml:space="preserve">M. S. Hossain, M. M. Hossain, and S. Nilufar, “An Overview of Additive Manufacturing of Triply Periodic Minimal Surface (TPMS) Structures,” </w:t>
      </w:r>
      <w:r>
        <w:rPr>
          <w:i/>
          <w:iCs/>
        </w:rPr>
        <w:t>Polymers</w:t>
      </w:r>
      <w:r>
        <w:rPr/>
        <w:t xml:space="preserve">, vol. 17, no. 24, p. 3307, Jan. 2025, doi: 10.3390/polym17243307. </w:t>
      </w:r>
      <w:r>
        <w:rPr/>
      </w:r>
      <w:r>
        <w:rPr/>
        <w:fldChar w:fldCharType="end"/>
      </w:r>
    </w:p>
    <w:p>
      <w:pPr>
        <w:pStyle w:val="Bibliografi1"/>
        <w:jc w:val="both"/>
        <w:rPr>
          <w:rFonts w:eastAsia="Times New Roman"/>
          <w:b/>
          <w:b/>
          <w:bCs/>
        </w:rPr>
      </w:pPr>
      <w:r>
        <w:rPr/>
      </w:r>
    </w:p>
    <w:sectPr>
      <w:type w:val="nextPage"/>
      <w:pgSz w:w="12240" w:h="15840"/>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mbria Math">
    <w:charset w:val="01"/>
    <w:family w:val="roman"/>
    <w:pitch w:val="variable"/>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360" w:hanging="360"/>
      </w:pPr>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720" w:hanging="720"/>
      </w:pPr>
      <w:rPr/>
    </w:lvl>
    <w:lvl w:ilvl="4">
      <w:start w:val="1"/>
      <w:numFmt w:val="decimal"/>
      <w:lvlText w:val="%1.%2.%3.%4.%5"/>
      <w:lvlJc w:val="left"/>
      <w:pPr>
        <w:tabs>
          <w:tab w:val="num" w:pos="0"/>
        </w:tabs>
        <w:ind w:left="1080" w:hanging="1080"/>
      </w:pPr>
      <w:rPr/>
    </w:lvl>
    <w:lvl w:ilvl="5">
      <w:start w:val="1"/>
      <w:numFmt w:val="decimal"/>
      <w:lvlText w:val="%1.%2.%3.%4.%5.%6"/>
      <w:lvlJc w:val="left"/>
      <w:pPr>
        <w:tabs>
          <w:tab w:val="num" w:pos="0"/>
        </w:tabs>
        <w:ind w:left="1080" w:hanging="1080"/>
      </w:pPr>
      <w:rPr/>
    </w:lvl>
    <w:lvl w:ilvl="6">
      <w:start w:val="1"/>
      <w:numFmt w:val="decimal"/>
      <w:lvlText w:val="%1.%2.%3.%4.%5.%6.%7"/>
      <w:lvlJc w:val="left"/>
      <w:pPr>
        <w:tabs>
          <w:tab w:val="num" w:pos="0"/>
        </w:tabs>
        <w:ind w:left="1440" w:hanging="1440"/>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440" w:hanging="144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zh-CN"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id-ID" w:eastAsia="zh-CN" w:bidi="th-TH"/>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0"/>
      <w:szCs w:val="22"/>
      <w:lang w:val="en-US" w:eastAsia="zh-CN"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iCs/>
      <w:color w:val="666666"/>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qFormat/>
    <w:rPr>
      <w:color w:val="0000FF" w:themeColor="hyperlink"/>
      <w:u w:val="single"/>
    </w:rPr>
  </w:style>
  <w:style w:type="character" w:styleId="PlaceholderText">
    <w:name w:val="Placeholder Text"/>
    <w:basedOn w:val="DefaultParagraphFont"/>
    <w:uiPriority w:val="99"/>
    <w:semiHidden/>
    <w:qFormat/>
    <w:rPr>
      <w:color w:val="666666"/>
    </w:rPr>
  </w:style>
  <w:style w:type="character" w:styleId="SebutanYangBelumTerselesaikan1" w:customStyle="1">
    <w:name w:val="Sebutan Yang Belum Terselesaikan1"/>
    <w:basedOn w:val="DefaultParagraphFont"/>
    <w:uiPriority w:val="99"/>
    <w:semiHidden/>
    <w:unhideWhenUsed/>
    <w:qFormat/>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aption1">
    <w:name w:val="caption"/>
    <w:basedOn w:val="Normal"/>
    <w:next w:val="Normal"/>
    <w:uiPriority w:val="35"/>
    <w:unhideWhenUsed/>
    <w:qFormat/>
    <w:pPr>
      <w:spacing w:lineRule="auto" w:line="240" w:before="0" w:after="200"/>
    </w:pPr>
    <w:rPr>
      <w:b/>
      <w:iCs/>
      <w:sz w:val="16"/>
      <w:szCs w:val="18"/>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Title">
    <w:name w:val="Title"/>
    <w:basedOn w:val="Normal"/>
    <w:next w:val="Normal"/>
    <w:uiPriority w:val="10"/>
    <w:qFormat/>
    <w:pPr>
      <w:keepNext w:val="true"/>
      <w:keepLines/>
      <w:spacing w:before="0" w:after="60"/>
    </w:pPr>
    <w:rPr>
      <w:sz w:val="52"/>
      <w:szCs w:val="52"/>
    </w:rPr>
  </w:style>
  <w:style w:type="paragraph" w:styleId="ListParagraph">
    <w:name w:val="List Paragraph"/>
    <w:basedOn w:val="Normal"/>
    <w:uiPriority w:val="34"/>
    <w:qFormat/>
    <w:pPr>
      <w:spacing w:before="0" w:after="0"/>
      <w:ind w:left="720" w:hanging="0"/>
      <w:contextualSpacing/>
    </w:pPr>
    <w:rPr/>
  </w:style>
  <w:style w:type="paragraph" w:styleId="Bibliografi1" w:customStyle="1">
    <w:name w:val="Bibliografi1"/>
    <w:basedOn w:val="Normal"/>
    <w:next w:val="Normal"/>
    <w:uiPriority w:val="37"/>
    <w:unhideWhenUsed/>
    <w:qFormat/>
    <w:pPr>
      <w:tabs>
        <w:tab w:val="clear" w:pos="720"/>
        <w:tab w:val="left" w:pos="504" w:leader="none"/>
      </w:tabs>
      <w:spacing w:lineRule="auto" w:line="240"/>
      <w:ind w:left="504" w:hanging="504"/>
    </w:pPr>
    <w:rPr/>
  </w:style>
  <w:style w:type="paragraph" w:styleId="Adress" w:customStyle="1">
    <w:name w:val="Adress"/>
    <w:basedOn w:val="Normal"/>
    <w:qFormat/>
    <w:pPr>
      <w:spacing w:lineRule="exact" w:line="180"/>
      <w:ind w:left="425" w:hanging="425"/>
    </w:pPr>
    <w:rPr>
      <w:rFonts w:eastAsia="MS Mincho" w:cs="Times New Roman"/>
      <w:sz w:val="14"/>
      <w:szCs w:val="20"/>
      <w:lang w:val="de-DE" w:eastAsia="ja-JP"/>
    </w:rPr>
  </w:style>
  <w:style w:type="paragraph" w:styleId="Aroa" w:customStyle="1">
    <w:name w:val="aroa"/>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Pr>
      <w:rFonts w:asciiTheme="minorHAnsi" w:hAnsiTheme="minorHAnsi" w:eastAsiaTheme="minorHAnsi" w:cstheme="minorBidi"/>
      <w:lang w:val="zh-CN" w:eastAsia="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_ariesto@ub.ac.id"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Relationship Id="rId25"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gsiXyZJwXBt9wu7y6wnqjG3g30ZA==">CgMxLjAaJQoBMBIgCh4IB0IaCg9UaW1lcyBOZXcgUm9tYW4SB0d1bmdzdWgaHwoBMRIaChgICVIUChJ0YWJsZS5qNm1zamFtZTN3a3I4AHIhMWNWd0NUaURpSU02ZDNJcDV3MGZZYXpnN1J0cHRqUkJ6</go:docsCustomData>
</go:gDocsCustomXmlDataStorage>
</file>

<file path=customXml/itemProps1.xml><?xml version="1.0" encoding="utf-8"?>
<ds:datastoreItem xmlns:ds="http://schemas.openxmlformats.org/officeDocument/2006/customXml" ds:itemID="{7805D1DA-4B02-4D90-AEFC-EE33F6737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TotalTime>
  <Application>LibreOffice/7.3.7.2$Linux_X86_64 LibreOffice_project/30$Build-2</Application>
  <AppVersion>15.0000</AppVersion>
  <Pages>10</Pages>
  <Words>5006</Words>
  <Characters>30867</Characters>
  <CharactersWithSpaces>35858</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2026-08-20T03:43:00Z</dcterms:created>
  <dc:creator>ASUS</dc:creator>
  <dc:description/>
  <dc:language>en-US</dc:language>
  <cp:lastModifiedBy/>
  <cp:lastPrinted>2026-08-10T14:11:00Z</cp:lastPrinted>
  <dcterms:modified xsi:type="dcterms:W3CDTF">2026-08-20T16:35:27Z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d828d78e-db0f-49c9-8413-fce521ad2f42</vt:lpwstr>
  </property>
  <property fmtid="{D5CDD505-2E9C-101B-9397-08002B2CF9AE}" pid="3" name="ICV">
    <vt:lpwstr>E6408C7A054342F6815C7CF5FF55CADD_12</vt:lpwstr>
  </property>
  <property fmtid="{D5CDD505-2E9C-101B-9397-08002B2CF9AE}" pid="4" name="KSOProductBuildVer">
    <vt:lpwstr>1057-12.1.0.28032</vt:lpwstr>
  </property>
  <property fmtid="{D5CDD505-2E9C-101B-9397-08002B2CF9AE}" pid="5" name="KSOTemplateDocerSaveRecord">
    <vt:lpwstr>eyJoZGlkIjoiM2ZlZjFhYTNiNWU0MTQ1ZDM1MDZhMzdhMTE0ODQ0ZWIifQ==</vt:lpwstr>
  </property>
  <property fmtid="{D5CDD505-2E9C-101B-9397-08002B2CF9AE}" pid="6" name="ZOTERO_PREF_1">
    <vt:lpwstr>&lt;data data-version="3" zotero-version="9.0.6"&gt;&lt;session id="tOcRloHL"/&gt;&lt;style id="http://www.zotero.org/styles/ieee"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