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4077" w:rsidRPr="00914077" w:rsidRDefault="00914077" w:rsidP="00914077">
      <w:pPr>
        <w:spacing w:line="276" w:lineRule="auto"/>
        <w:jc w:val="both"/>
        <w:rPr>
          <w:rFonts w:ascii="Times New Roman" w:hAnsi="Times New Roman" w:cs="Times New Roman"/>
          <w:b/>
          <w:sz w:val="40"/>
          <w:szCs w:val="40"/>
        </w:rPr>
      </w:pPr>
      <w:r w:rsidRPr="00914077">
        <w:rPr>
          <w:rFonts w:ascii="Times New Roman" w:hAnsi="Times New Roman" w:cs="Times New Roman"/>
          <w:b/>
          <w:sz w:val="40"/>
          <w:szCs w:val="40"/>
        </w:rPr>
        <w:t>1. Introduction</w:t>
      </w:r>
    </w:p>
    <w:p w:rsidR="00914077" w:rsidRDefault="00914077" w:rsidP="00914077">
      <w:pPr>
        <w:spacing w:line="276" w:lineRule="auto"/>
        <w:jc w:val="both"/>
        <w:rPr>
          <w:rFonts w:ascii="Times New Roman" w:hAnsi="Times New Roman" w:cs="Times New Roman"/>
          <w:sz w:val="40"/>
          <w:szCs w:val="40"/>
        </w:rPr>
      </w:pPr>
      <w:r w:rsidRPr="00914077">
        <w:rPr>
          <w:rFonts w:ascii="Times New Roman" w:hAnsi="Times New Roman" w:cs="Times New Roman"/>
          <w:sz w:val="40"/>
          <w:szCs w:val="40"/>
        </w:rPr>
        <w:t xml:space="preserve">​This report provides a detailed analysis of the "Sum of quantity by </w:t>
      </w:r>
      <w:proofErr w:type="spellStart"/>
      <w:r w:rsidRPr="00914077">
        <w:rPr>
          <w:rFonts w:ascii="Times New Roman" w:hAnsi="Times New Roman" w:cs="Times New Roman"/>
          <w:sz w:val="40"/>
          <w:szCs w:val="40"/>
        </w:rPr>
        <w:t>Food_Type</w:t>
      </w:r>
      <w:proofErr w:type="spellEnd"/>
      <w:r w:rsidRPr="00914077">
        <w:rPr>
          <w:rFonts w:ascii="Times New Roman" w:hAnsi="Times New Roman" w:cs="Times New Roman"/>
          <w:sz w:val="40"/>
          <w:szCs w:val="40"/>
        </w:rPr>
        <w:t>" based on the provided bar chart data. The objective is to identify volume trends and categorize the performance of various food segments within the inventory or sales cycle.</w:t>
      </w:r>
    </w:p>
    <w:p w:rsidR="00914077" w:rsidRPr="00914077" w:rsidRDefault="00914077" w:rsidP="00914077">
      <w:pPr>
        <w:spacing w:line="276" w:lineRule="auto"/>
        <w:jc w:val="both"/>
        <w:rPr>
          <w:rFonts w:ascii="Times New Roman" w:hAnsi="Times New Roman" w:cs="Times New Roman"/>
          <w:sz w:val="40"/>
          <w:szCs w:val="40"/>
        </w:rPr>
      </w:pPr>
    </w:p>
    <w:p w:rsidR="00914077" w:rsidRPr="00914077" w:rsidRDefault="00914077" w:rsidP="00914077">
      <w:pPr>
        <w:spacing w:line="276" w:lineRule="auto"/>
        <w:jc w:val="both"/>
        <w:rPr>
          <w:rFonts w:ascii="Times New Roman" w:hAnsi="Times New Roman" w:cs="Times New Roman"/>
          <w:sz w:val="40"/>
          <w:szCs w:val="40"/>
        </w:rPr>
      </w:pPr>
      <w:r w:rsidRPr="00914077">
        <w:rPr>
          <w:rFonts w:ascii="Times New Roman" w:hAnsi="Times New Roman" w:cs="Times New Roman"/>
          <w:sz w:val="40"/>
          <w:szCs w:val="40"/>
        </w:rPr>
        <w:t>​</w:t>
      </w:r>
      <w:r w:rsidRPr="00914077">
        <w:rPr>
          <w:rFonts w:ascii="Times New Roman" w:hAnsi="Times New Roman" w:cs="Times New Roman"/>
          <w:b/>
          <w:sz w:val="40"/>
          <w:szCs w:val="40"/>
        </w:rPr>
        <w:t>2. Primary Market Leaders</w:t>
      </w:r>
    </w:p>
    <w:p w:rsidR="00914077" w:rsidRDefault="00914077" w:rsidP="00914077">
      <w:pPr>
        <w:spacing w:line="276" w:lineRule="auto"/>
        <w:jc w:val="both"/>
        <w:rPr>
          <w:rFonts w:ascii="Times New Roman" w:hAnsi="Times New Roman" w:cs="Times New Roman"/>
          <w:sz w:val="40"/>
          <w:szCs w:val="40"/>
        </w:rPr>
      </w:pPr>
      <w:r w:rsidRPr="00914077">
        <w:rPr>
          <w:rFonts w:ascii="Times New Roman" w:hAnsi="Times New Roman" w:cs="Times New Roman"/>
          <w:sz w:val="40"/>
          <w:szCs w:val="40"/>
        </w:rPr>
        <w:t xml:space="preserve">​The data is heavily skewed toward two specific categories. Main Course stands as the clear leader, with a recorded quantity of approximately 6, 6, 0, 0 units. Following this, Snack items represent a secondary but substantial pillar of the business, </w:t>
      </w:r>
      <w:proofErr w:type="spellStart"/>
      <w:r w:rsidRPr="00914077">
        <w:rPr>
          <w:rFonts w:ascii="Times New Roman" w:hAnsi="Times New Roman" w:cs="Times New Roman"/>
          <w:sz w:val="40"/>
          <w:szCs w:val="40"/>
        </w:rPr>
        <w:t>totaling</w:t>
      </w:r>
      <w:proofErr w:type="spellEnd"/>
      <w:r w:rsidRPr="00914077">
        <w:rPr>
          <w:rFonts w:ascii="Times New Roman" w:hAnsi="Times New Roman" w:cs="Times New Roman"/>
          <w:sz w:val="40"/>
          <w:szCs w:val="40"/>
        </w:rPr>
        <w:t xml:space="preserve"> roughly 4, 3, 0, 0 units.</w:t>
      </w:r>
    </w:p>
    <w:p w:rsidR="00914077" w:rsidRPr="00914077" w:rsidRDefault="00914077" w:rsidP="00914077">
      <w:pPr>
        <w:spacing w:line="276" w:lineRule="auto"/>
        <w:jc w:val="both"/>
        <w:rPr>
          <w:rFonts w:ascii="Times New Roman" w:hAnsi="Times New Roman" w:cs="Times New Roman"/>
          <w:sz w:val="40"/>
          <w:szCs w:val="40"/>
        </w:rPr>
      </w:pPr>
    </w:p>
    <w:p w:rsidR="00914077" w:rsidRPr="00914077" w:rsidRDefault="00914077" w:rsidP="00914077">
      <w:pPr>
        <w:spacing w:line="276" w:lineRule="auto"/>
        <w:jc w:val="both"/>
        <w:rPr>
          <w:rFonts w:ascii="Times New Roman" w:hAnsi="Times New Roman" w:cs="Times New Roman"/>
          <w:sz w:val="40"/>
          <w:szCs w:val="40"/>
        </w:rPr>
      </w:pPr>
      <w:r w:rsidRPr="00914077">
        <w:rPr>
          <w:rFonts w:ascii="Times New Roman" w:hAnsi="Times New Roman" w:cs="Times New Roman"/>
          <w:sz w:val="40"/>
          <w:szCs w:val="40"/>
        </w:rPr>
        <w:t>​</w:t>
      </w:r>
      <w:r w:rsidRPr="00914077">
        <w:rPr>
          <w:rFonts w:ascii="Times New Roman" w:hAnsi="Times New Roman" w:cs="Times New Roman"/>
          <w:b/>
          <w:sz w:val="40"/>
          <w:szCs w:val="40"/>
        </w:rPr>
        <w:t>3. Mid-Tier Categories</w:t>
      </w:r>
    </w:p>
    <w:p w:rsidR="00914077" w:rsidRDefault="00914077" w:rsidP="00914077">
      <w:pPr>
        <w:spacing w:line="276" w:lineRule="auto"/>
        <w:jc w:val="both"/>
        <w:rPr>
          <w:rFonts w:ascii="Times New Roman" w:hAnsi="Times New Roman" w:cs="Times New Roman"/>
          <w:sz w:val="40"/>
          <w:szCs w:val="40"/>
        </w:rPr>
      </w:pPr>
      <w:r w:rsidRPr="00914077">
        <w:rPr>
          <w:rFonts w:ascii="Times New Roman" w:hAnsi="Times New Roman" w:cs="Times New Roman"/>
          <w:sz w:val="40"/>
          <w:szCs w:val="40"/>
        </w:rPr>
        <w:t>​There is a noticeable gap between the top performers and the mid-tier groups. Dessert and Breakfast show relatively stable and similar figures, contributing approximately 1, 4, 0, 0 and 1, 3, 0, 0 units respectively. These categories represent consistent, albeit smaller, segments of the total volume.</w:t>
      </w:r>
    </w:p>
    <w:p w:rsidR="00914077" w:rsidRPr="00914077" w:rsidRDefault="00914077" w:rsidP="00914077">
      <w:pPr>
        <w:spacing w:line="276" w:lineRule="auto"/>
        <w:jc w:val="both"/>
        <w:rPr>
          <w:rFonts w:ascii="Times New Roman" w:hAnsi="Times New Roman" w:cs="Times New Roman"/>
          <w:sz w:val="40"/>
          <w:szCs w:val="40"/>
        </w:rPr>
      </w:pPr>
    </w:p>
    <w:p w:rsidR="00914077" w:rsidRPr="00914077" w:rsidRDefault="00914077" w:rsidP="00914077">
      <w:pPr>
        <w:spacing w:line="276" w:lineRule="auto"/>
        <w:jc w:val="both"/>
        <w:rPr>
          <w:rFonts w:ascii="Times New Roman" w:hAnsi="Times New Roman" w:cs="Times New Roman"/>
          <w:sz w:val="40"/>
          <w:szCs w:val="40"/>
        </w:rPr>
      </w:pPr>
      <w:r w:rsidRPr="00914077">
        <w:rPr>
          <w:rFonts w:ascii="Times New Roman" w:hAnsi="Times New Roman" w:cs="Times New Roman"/>
          <w:sz w:val="40"/>
          <w:szCs w:val="40"/>
        </w:rPr>
        <w:lastRenderedPageBreak/>
        <w:t>​</w:t>
      </w:r>
      <w:r w:rsidRPr="00914077">
        <w:rPr>
          <w:rFonts w:ascii="Times New Roman" w:hAnsi="Times New Roman" w:cs="Times New Roman"/>
          <w:b/>
          <w:sz w:val="40"/>
          <w:szCs w:val="40"/>
        </w:rPr>
        <w:t>4. Low-Volume Segments</w:t>
      </w:r>
    </w:p>
    <w:p w:rsidR="00914077" w:rsidRDefault="00914077" w:rsidP="00914077">
      <w:pPr>
        <w:spacing w:line="276" w:lineRule="auto"/>
        <w:jc w:val="both"/>
        <w:rPr>
          <w:rFonts w:ascii="Times New Roman" w:hAnsi="Times New Roman" w:cs="Times New Roman"/>
          <w:sz w:val="40"/>
          <w:szCs w:val="40"/>
        </w:rPr>
      </w:pPr>
      <w:r w:rsidRPr="00914077">
        <w:rPr>
          <w:rFonts w:ascii="Times New Roman" w:hAnsi="Times New Roman" w:cs="Times New Roman"/>
          <w:sz w:val="40"/>
          <w:szCs w:val="40"/>
        </w:rPr>
        <w:t>​The remaining categories show a significant decline in quantity. Beverage items account for only 3, 0, 0 units, while Appetizer items represent the lowest volume in the dataset at approximately 1, 0, 0 unit.</w:t>
      </w:r>
    </w:p>
    <w:p w:rsidR="00914077" w:rsidRPr="00914077" w:rsidRDefault="00914077" w:rsidP="00914077">
      <w:pPr>
        <w:spacing w:line="276" w:lineRule="auto"/>
        <w:jc w:val="both"/>
        <w:rPr>
          <w:rFonts w:ascii="Times New Roman" w:hAnsi="Times New Roman" w:cs="Times New Roman"/>
          <w:sz w:val="40"/>
          <w:szCs w:val="40"/>
        </w:rPr>
      </w:pPr>
    </w:p>
    <w:p w:rsidR="00914077" w:rsidRPr="00914077" w:rsidRDefault="00914077" w:rsidP="00914077">
      <w:pPr>
        <w:spacing w:line="276" w:lineRule="auto"/>
        <w:jc w:val="both"/>
        <w:rPr>
          <w:rFonts w:ascii="Times New Roman" w:hAnsi="Times New Roman" w:cs="Times New Roman"/>
          <w:sz w:val="40"/>
          <w:szCs w:val="40"/>
        </w:rPr>
      </w:pPr>
      <w:r w:rsidRPr="00914077">
        <w:rPr>
          <w:rFonts w:ascii="Times New Roman" w:hAnsi="Times New Roman" w:cs="Times New Roman"/>
          <w:sz w:val="40"/>
          <w:szCs w:val="40"/>
        </w:rPr>
        <w:t>​</w:t>
      </w:r>
      <w:r w:rsidRPr="00914077">
        <w:rPr>
          <w:rFonts w:ascii="Times New Roman" w:hAnsi="Times New Roman" w:cs="Times New Roman"/>
          <w:b/>
          <w:sz w:val="40"/>
          <w:szCs w:val="40"/>
        </w:rPr>
        <w:t>5. Distribution Disparity</w:t>
      </w:r>
    </w:p>
    <w:p w:rsidR="00914077" w:rsidRDefault="00914077" w:rsidP="00914077">
      <w:pPr>
        <w:spacing w:line="276" w:lineRule="auto"/>
        <w:jc w:val="both"/>
        <w:rPr>
          <w:rFonts w:ascii="Times New Roman" w:hAnsi="Times New Roman" w:cs="Times New Roman"/>
          <w:sz w:val="40"/>
          <w:szCs w:val="40"/>
        </w:rPr>
      </w:pPr>
      <w:r w:rsidRPr="00914077">
        <w:rPr>
          <w:rFonts w:ascii="Times New Roman" w:hAnsi="Times New Roman" w:cs="Times New Roman"/>
          <w:sz w:val="40"/>
          <w:szCs w:val="40"/>
        </w:rPr>
        <w:t>​The chart highlights a high level of concentration in the top two categories. The Main Course and Snack segments combined dwarf the other four categories, suggesting that the operational focus is primarily centered on heavy meals and quick bites.</w:t>
      </w:r>
    </w:p>
    <w:p w:rsidR="00914077" w:rsidRPr="00914077" w:rsidRDefault="00914077" w:rsidP="00914077">
      <w:pPr>
        <w:spacing w:line="276" w:lineRule="auto"/>
        <w:jc w:val="both"/>
        <w:rPr>
          <w:rFonts w:ascii="Times New Roman" w:hAnsi="Times New Roman" w:cs="Times New Roman"/>
          <w:sz w:val="40"/>
          <w:szCs w:val="40"/>
        </w:rPr>
      </w:pPr>
      <w:bookmarkStart w:id="0" w:name="_GoBack"/>
      <w:bookmarkEnd w:id="0"/>
    </w:p>
    <w:p w:rsidR="00914077" w:rsidRPr="00914077" w:rsidRDefault="00914077" w:rsidP="00914077">
      <w:pPr>
        <w:spacing w:line="276" w:lineRule="auto"/>
        <w:jc w:val="both"/>
        <w:rPr>
          <w:rFonts w:ascii="Times New Roman" w:hAnsi="Times New Roman" w:cs="Times New Roman"/>
          <w:sz w:val="40"/>
          <w:szCs w:val="40"/>
        </w:rPr>
      </w:pPr>
      <w:r w:rsidRPr="00914077">
        <w:rPr>
          <w:rFonts w:ascii="Times New Roman" w:hAnsi="Times New Roman" w:cs="Times New Roman"/>
          <w:sz w:val="40"/>
          <w:szCs w:val="40"/>
        </w:rPr>
        <w:t>​</w:t>
      </w:r>
      <w:r w:rsidRPr="00914077">
        <w:rPr>
          <w:rFonts w:ascii="Times New Roman" w:hAnsi="Times New Roman" w:cs="Times New Roman"/>
          <w:b/>
          <w:sz w:val="40"/>
          <w:szCs w:val="40"/>
        </w:rPr>
        <w:t>6. Conclusion</w:t>
      </w:r>
    </w:p>
    <w:p w:rsidR="004177C4" w:rsidRPr="00914077" w:rsidRDefault="00914077" w:rsidP="00914077">
      <w:pPr>
        <w:spacing w:line="276" w:lineRule="auto"/>
        <w:jc w:val="both"/>
        <w:rPr>
          <w:sz w:val="40"/>
          <w:szCs w:val="40"/>
        </w:rPr>
      </w:pPr>
      <w:r w:rsidRPr="00914077">
        <w:rPr>
          <w:rFonts w:ascii="Times New Roman" w:hAnsi="Times New Roman" w:cs="Times New Roman"/>
          <w:sz w:val="40"/>
          <w:szCs w:val="40"/>
        </w:rPr>
        <w:t>​In summary, the data indicates that Main Course and Snack items are the primary volume drivers, making up the bulk of the 1, 4, 0, 0, 0+ total units represented. Strategic efforts should remain focused on these high-performing areas while investigating potential growth opportunities in the currently under-represented Beverage and Appetizer categories</w:t>
      </w:r>
      <w:r w:rsidRPr="00914077">
        <w:rPr>
          <w:sz w:val="40"/>
          <w:szCs w:val="40"/>
        </w:rPr>
        <w:t>.</w:t>
      </w:r>
    </w:p>
    <w:sectPr w:rsidR="004177C4" w:rsidRPr="009140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4077"/>
    <w:rsid w:val="004177C4"/>
    <w:rsid w:val="009140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6FDA6"/>
  <w15:chartTrackingRefBased/>
  <w15:docId w15:val="{70B335E1-E4E7-411D-8489-F326DE43B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267</Words>
  <Characters>1525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2026-01-20T08:47:00Z</dcterms:created>
  <dcterms:modified xsi:type="dcterms:W3CDTF">2026-01-20T08:52:00Z</dcterms:modified>
</cp:coreProperties>
</file>