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65AEE" w14:textId="77777777" w:rsidR="005E5F95" w:rsidRDefault="005E5F95">
      <w:pPr>
        <w:spacing w:line="360" w:lineRule="auto"/>
        <w:rPr>
          <w:rFonts w:ascii="Calibri" w:eastAsia="Calibri" w:hAnsi="Calibri" w:cs="Calibri"/>
          <w:b/>
        </w:rPr>
      </w:pPr>
      <w:bookmarkStart w:id="0" w:name="_GoBack"/>
      <w:bookmarkEnd w:id="0"/>
    </w:p>
    <w:p w14:paraId="1ECB4E0E" w14:textId="77777777" w:rsidR="000D60B3" w:rsidRDefault="005E5F95" w:rsidP="00A41CA1">
      <w:pPr>
        <w:spacing w:line="480" w:lineRule="auto"/>
        <w:rPr>
          <w:rFonts w:eastAsia="Calibri"/>
        </w:rPr>
      </w:pPr>
      <w:r w:rsidRPr="0031451A">
        <w:rPr>
          <w:rFonts w:eastAsia="Calibri"/>
          <w:b/>
        </w:rPr>
        <w:t xml:space="preserve">Methods S1 </w:t>
      </w:r>
      <w:r w:rsidRPr="0031451A">
        <w:rPr>
          <w:rFonts w:eastAsia="Calibri"/>
        </w:rPr>
        <w:t xml:space="preserve">PCR </w:t>
      </w:r>
      <w:proofErr w:type="spellStart"/>
      <w:r w:rsidRPr="0031451A">
        <w:rPr>
          <w:rFonts w:eastAsia="Calibri"/>
        </w:rPr>
        <w:t>PCR</w:t>
      </w:r>
      <w:proofErr w:type="spellEnd"/>
      <w:r w:rsidRPr="0031451A">
        <w:rPr>
          <w:rFonts w:eastAsia="Calibri"/>
        </w:rPr>
        <w:t xml:space="preserve"> Cycling Parameters </w:t>
      </w:r>
    </w:p>
    <w:p w14:paraId="787E30A5" w14:textId="743BA0C5" w:rsidR="00A41CA1" w:rsidRPr="008719B9" w:rsidRDefault="007E3489" w:rsidP="00A41CA1">
      <w:pPr>
        <w:spacing w:line="480" w:lineRule="auto"/>
        <w:ind w:firstLine="720"/>
        <w:jc w:val="both"/>
        <w:rPr>
          <w:rFonts w:eastAsia="Calibri"/>
        </w:rPr>
      </w:pPr>
      <w:r>
        <w:t xml:space="preserve">PCR reactions were carried out in 25ul reaction mixtures including 2.5ul of 10x </w:t>
      </w:r>
      <w:proofErr w:type="spellStart"/>
      <w:r>
        <w:t>HotstarTaq</w:t>
      </w:r>
      <w:proofErr w:type="spellEnd"/>
      <w:r>
        <w:t xml:space="preserve"> PCR buffer, 0.5ul of 2 mM of deoxynucleotide triphosphates (dNTPs), 1.0ul of 10 </w:t>
      </w:r>
      <w:proofErr w:type="spellStart"/>
      <w:r>
        <w:t>uM</w:t>
      </w:r>
      <w:proofErr w:type="spellEnd"/>
      <w:r>
        <w:t xml:space="preserve"> ILL-1F-primer, 0.13ul of </w:t>
      </w:r>
      <w:proofErr w:type="spellStart"/>
      <w:r>
        <w:t>HotStarTaq</w:t>
      </w:r>
      <w:proofErr w:type="spellEnd"/>
      <w:r>
        <w:t xml:space="preserve"> (5 units/ul), 0.25ul of 100x bovine serum albumin (BSA), 14.62ul of molecular grade water, and 2ul of the DNA template. </w:t>
      </w:r>
      <w:r w:rsidR="00A41CA1" w:rsidRPr="0031451A">
        <w:rPr>
          <w:rFonts w:eastAsia="Calibri"/>
        </w:rPr>
        <w:t xml:space="preserve">PCR cycling parameters consisted of an initial cycle of 5 min at 95˚C for denaturation of the DNA, followed by 29 cycles consisting of 30s at 95˚C, 30s at 51˚C, and 1 min at 72˚C of annealing and 10 min at 72˚C for </w:t>
      </w:r>
      <w:r w:rsidR="006B6409">
        <w:rPr>
          <w:rFonts w:eastAsia="Calibri"/>
        </w:rPr>
        <w:t xml:space="preserve">an </w:t>
      </w:r>
      <w:r w:rsidR="00A41CA1" w:rsidRPr="0031451A">
        <w:rPr>
          <w:rFonts w:eastAsia="Calibri"/>
        </w:rPr>
        <w:t>extension. A negative and positive control were used during amplification to ensure amplification of target DNA and exclude contamination of the products. For samples that failed to amplify</w:t>
      </w:r>
      <w:r w:rsidR="006B6409">
        <w:rPr>
          <w:rFonts w:eastAsia="Calibri"/>
        </w:rPr>
        <w:t>,</w:t>
      </w:r>
      <w:r w:rsidR="00A41CA1" w:rsidRPr="0031451A">
        <w:rPr>
          <w:rFonts w:eastAsia="Calibri"/>
        </w:rPr>
        <w:t xml:space="preserve"> </w:t>
      </w:r>
      <w:r w:rsidR="006B6409">
        <w:rPr>
          <w:rFonts w:eastAsia="Calibri"/>
        </w:rPr>
        <w:t>DNA concentration</w:t>
      </w:r>
      <w:r w:rsidR="00A41CA1" w:rsidRPr="0031451A">
        <w:rPr>
          <w:rFonts w:eastAsia="Calibri"/>
        </w:rPr>
        <w:t xml:space="preserve"> w</w:t>
      </w:r>
      <w:r w:rsidR="006B6409">
        <w:rPr>
          <w:rFonts w:eastAsia="Calibri"/>
        </w:rPr>
        <w:t>ere</w:t>
      </w:r>
      <w:r w:rsidR="00A41CA1" w:rsidRPr="0031451A">
        <w:rPr>
          <w:rFonts w:eastAsia="Calibri"/>
        </w:rPr>
        <w:t xml:space="preserve"> incre</w:t>
      </w:r>
      <w:r w:rsidR="00A41CA1">
        <w:rPr>
          <w:rFonts w:eastAsia="Calibri"/>
        </w:rPr>
        <w:t>ased to 5ul (10:90 PCR product). PCR</w:t>
      </w:r>
      <w:r w:rsidR="008719B9">
        <w:rPr>
          <w:rFonts w:eastAsia="Calibri"/>
        </w:rPr>
        <w:t xml:space="preserve"> product</w:t>
      </w:r>
      <w:r w:rsidR="006B6409">
        <w:rPr>
          <w:rFonts w:eastAsia="Calibri"/>
        </w:rPr>
        <w:t>s</w:t>
      </w:r>
      <w:r w:rsidR="008719B9">
        <w:rPr>
          <w:rFonts w:eastAsia="Calibri"/>
        </w:rPr>
        <w:t xml:space="preserve"> were </w:t>
      </w:r>
      <w:r w:rsidR="00A41CA1">
        <w:rPr>
          <w:color w:val="000000" w:themeColor="text1"/>
        </w:rPr>
        <w:t xml:space="preserve">visualized with gel electrophoresis before submitting to Vincent J. Coates (VJC) Genomic Sequencing Laboratory at the University of California-Berkeley. The VJC laboratory cleaned the PCR product with AMPURE (Beckman Coulter Inc., Brea, CA, USA), quantified fluorescently with the Qubit dsDNA HS kit (Life Technologies Inc., Gaithersburg, MD, USA), and pooled at equimolar concentration. Quality check was performed with the Agilent 2100 Bioanalyzer (Agilent Technologies, Santa Clara, CA, USA) according to established protocols </w:t>
      </w:r>
      <w:r w:rsidR="00A41CA1">
        <w:rPr>
          <w:color w:val="000000" w:themeColor="text1"/>
        </w:rPr>
        <w:fldChar w:fldCharType="begin"/>
      </w:r>
      <w:r w:rsidR="00A41CA1">
        <w:rPr>
          <w:color w:val="000000" w:themeColor="text1"/>
        </w:rPr>
        <w:instrText xml:space="preserve"> ADDIN ZOTERO_ITEM CSL_CITATION {"citationID":"oajxP3sx","properties":{"formattedCitation":"(Glassman, Wang and Bruns 2017)","plainCitation":"(Glassman, Wang and Bruns 2017)","noteIndex":0},"citationItems":[{"id":427,"uris":["http://zotero.org/users/5562820/items/J44G8QLR"],"uri":["http://zotero.org/users/5562820/items/J44G8QLR"],"itemData":{"id":427,"type":"article-journal","title":"Environmental filtering by pH and soil nutrients drives community assembly in fungi at fine spatial scales","container-title":"Molecular Ecology","page":"6960-6973","volume":"26","issue":"24","source":"Wiley Online Library","abstract":"Whether niche processes, like environmental filtering, or neutral processes, like dispersal limitation, are the primary forces driving community assembly is a central question in ecology. Here, we use a natural experimental system of isolated tree “islands” to test whether environment or geography primarily structures fungal community composition at fine spatial scales. This system consists of isolated pairs of two distantly related, congeneric pine trees established at varying distances from each other and the forest edge, allowing us to disentangle the effects of geographic distance vs. host and edaphic environment on associated fungal communities. We identified fungal community composition with Illumina sequencing of ITS amplicons, measured all relevant environmental parameters for each tree—including tree age, size and soil chemistry—and calculated geographic distances from each tree to all others and to the nearest forest edge. We applied generalized dissimilarity modelling to test whether total and ectomycorrhizal fungal (EMF) communities were primarily structured by geographic or environmental filtering. Our results provide strong evidence that as in many other organisms, niche and neutral processes both contribute significantly to turnover in community composition in fungi, but environmental filtering plays the dominant role in structuring both free-living and symbiotic fungal communities at fine spatial scales. In our study system, we found pH and organic matter primarily drive environmental filtering in total soil fungal communities and that pH and cation exchange capacity—and, surprisingly, not host species—were the largest factors affecting EMF community composition. These findings support an emerging paradigm that pH may play a central role in the assembly of all soil-mediated systems.","DOI":"10.1111/mec.14414","ISSN":"1365-294X","language":"en","author":[{"family":"Glassman","given":"Sydney I."},{"family":"Wang","given":"Ian J."},{"family":"Bruns","given":"Thomas D."}],"issued":{"date-parts":[["2017"]]}}}],"schema":"https://github.com/citation-style-language/schema/raw/master/csl-citation.json"} </w:instrText>
      </w:r>
      <w:r w:rsidR="00A41CA1">
        <w:rPr>
          <w:color w:val="000000" w:themeColor="text1"/>
        </w:rPr>
        <w:fldChar w:fldCharType="separate"/>
      </w:r>
      <w:r w:rsidR="00A41CA1">
        <w:rPr>
          <w:color w:val="000000" w:themeColor="text1"/>
        </w:rPr>
        <w:t>(Glassman, Wang and Bruns 2017)</w:t>
      </w:r>
      <w:r w:rsidR="00A41CA1">
        <w:rPr>
          <w:color w:val="000000" w:themeColor="text1"/>
        </w:rPr>
        <w:fldChar w:fldCharType="end"/>
      </w:r>
      <w:r w:rsidR="00A41CA1">
        <w:rPr>
          <w:color w:val="000000" w:themeColor="text1"/>
        </w:rPr>
        <w:t xml:space="preserve">, and sequenced with Illumina </w:t>
      </w:r>
      <w:proofErr w:type="spellStart"/>
      <w:r w:rsidR="00A41CA1">
        <w:rPr>
          <w:color w:val="000000" w:themeColor="text1"/>
        </w:rPr>
        <w:t>MiSeq</w:t>
      </w:r>
      <w:proofErr w:type="spellEnd"/>
      <w:r w:rsidR="00A41CA1">
        <w:rPr>
          <w:color w:val="000000" w:themeColor="text1"/>
        </w:rPr>
        <w:t xml:space="preserve"> PE 2 x 300.</w:t>
      </w:r>
    </w:p>
    <w:p w14:paraId="1C1D27AC" w14:textId="77777777" w:rsidR="00A41CA1" w:rsidRDefault="00A41CA1" w:rsidP="00A41CA1">
      <w:pPr>
        <w:spacing w:line="480" w:lineRule="auto"/>
        <w:ind w:firstLine="720"/>
        <w:jc w:val="both"/>
        <w:rPr>
          <w:rFonts w:eastAsia="Calibri"/>
        </w:rPr>
      </w:pPr>
    </w:p>
    <w:p w14:paraId="2587C388" w14:textId="77777777" w:rsidR="00A41CA1" w:rsidRDefault="00A41CA1" w:rsidP="00A41CA1">
      <w:pPr>
        <w:spacing w:line="480" w:lineRule="auto"/>
        <w:ind w:firstLine="720"/>
        <w:jc w:val="both"/>
        <w:rPr>
          <w:rFonts w:eastAsia="Calibri"/>
        </w:rPr>
      </w:pPr>
    </w:p>
    <w:p w14:paraId="64650E46" w14:textId="77777777" w:rsidR="007E3489" w:rsidRDefault="007E3489" w:rsidP="00A41CA1">
      <w:pPr>
        <w:spacing w:line="480" w:lineRule="auto"/>
        <w:rPr>
          <w:rFonts w:eastAsia="Calibri"/>
        </w:rPr>
      </w:pPr>
    </w:p>
    <w:p w14:paraId="13E1736A" w14:textId="77777777" w:rsidR="007E3489" w:rsidRDefault="007E3489" w:rsidP="00A41CA1">
      <w:pPr>
        <w:spacing w:line="480" w:lineRule="auto"/>
        <w:rPr>
          <w:rFonts w:eastAsia="Calibri"/>
        </w:rPr>
      </w:pPr>
    </w:p>
    <w:p w14:paraId="4B157722" w14:textId="77777777" w:rsidR="007E3489" w:rsidRPr="0031451A" w:rsidRDefault="007E3489" w:rsidP="00A41CA1">
      <w:pPr>
        <w:spacing w:line="480" w:lineRule="auto"/>
        <w:rPr>
          <w:rFonts w:eastAsia="Calibri"/>
        </w:rPr>
      </w:pPr>
    </w:p>
    <w:p w14:paraId="11883416" w14:textId="77777777" w:rsidR="000D60B3" w:rsidRPr="0031451A" w:rsidRDefault="005E5F95" w:rsidP="00A41CA1">
      <w:pPr>
        <w:spacing w:line="480" w:lineRule="auto"/>
        <w:rPr>
          <w:rFonts w:eastAsia="Calibri"/>
        </w:rPr>
        <w:sectPr w:rsidR="000D60B3" w:rsidRPr="0031451A">
          <w:footerReference w:type="default" r:id="rId7"/>
          <w:type w:val="continuous"/>
          <w:pgSz w:w="12240" w:h="15840"/>
          <w:pgMar w:top="1440" w:right="1440" w:bottom="1440" w:left="1440" w:header="709" w:footer="709" w:gutter="0"/>
          <w:cols w:space="720" w:equalWidth="0">
            <w:col w:w="9360"/>
          </w:cols>
        </w:sectPr>
      </w:pPr>
      <w:r w:rsidRPr="0031451A">
        <w:rPr>
          <w:rFonts w:eastAsia="Calibri"/>
        </w:rPr>
        <w:tab/>
      </w:r>
    </w:p>
    <w:p w14:paraId="3142F693" w14:textId="77777777" w:rsidR="000D60B3" w:rsidRPr="0031451A" w:rsidRDefault="000D60B3" w:rsidP="00A41CA1">
      <w:pPr>
        <w:widowControl w:val="0"/>
        <w:spacing w:line="480" w:lineRule="auto"/>
        <w:rPr>
          <w:rFonts w:eastAsia="Calibri"/>
          <w:b/>
        </w:rPr>
      </w:pPr>
    </w:p>
    <w:p w14:paraId="70FA4349" w14:textId="77777777" w:rsidR="000D60B3" w:rsidRPr="0031451A" w:rsidRDefault="005E5F95" w:rsidP="00A41CA1">
      <w:pPr>
        <w:widowControl w:val="0"/>
        <w:spacing w:line="480" w:lineRule="auto"/>
        <w:rPr>
          <w:rFonts w:eastAsia="Calibri"/>
          <w:b/>
        </w:rPr>
      </w:pPr>
      <w:r w:rsidRPr="0031451A">
        <w:rPr>
          <w:rFonts w:eastAsia="Calibri"/>
          <w:b/>
        </w:rPr>
        <w:t>Methods S1 Bioinformatics steps</w:t>
      </w:r>
    </w:p>
    <w:p w14:paraId="4BF43836" w14:textId="69156EBD" w:rsidR="000D60B3" w:rsidRDefault="005E5F95" w:rsidP="00A41CA1">
      <w:pPr>
        <w:spacing w:line="480" w:lineRule="auto"/>
        <w:ind w:firstLine="720"/>
        <w:jc w:val="both"/>
        <w:rPr>
          <w:rFonts w:eastAsia="Calibri"/>
        </w:rPr>
      </w:pPr>
      <w:proofErr w:type="gramStart"/>
      <w:r w:rsidRPr="0031451A">
        <w:rPr>
          <w:rFonts w:eastAsia="Calibri"/>
          <w:color w:val="000000"/>
        </w:rPr>
        <w:t>Paired-end</w:t>
      </w:r>
      <w:proofErr w:type="gramEnd"/>
      <w:r w:rsidRPr="0031451A">
        <w:rPr>
          <w:rFonts w:eastAsia="Calibri"/>
          <w:color w:val="000000"/>
        </w:rPr>
        <w:t xml:space="preserve"> demultiplexed sequence files, containing 4,535,423 raw sequences in 213 samples were processed using Qiime2, version </w:t>
      </w:r>
      <w:r w:rsidR="0031451A">
        <w:rPr>
          <w:rFonts w:eastAsia="Calibri"/>
        </w:rPr>
        <w:t>2019.10 (</w:t>
      </w:r>
      <w:proofErr w:type="spellStart"/>
      <w:r w:rsidR="0031451A">
        <w:rPr>
          <w:rFonts w:eastAsia="Calibri"/>
        </w:rPr>
        <w:t>Caporaso</w:t>
      </w:r>
      <w:proofErr w:type="spellEnd"/>
      <w:r w:rsidR="0031451A">
        <w:rPr>
          <w:rFonts w:eastAsia="Calibri"/>
        </w:rPr>
        <w:t xml:space="preserve"> et al., 2019</w:t>
      </w:r>
      <w:r w:rsidRPr="0031451A">
        <w:rPr>
          <w:rFonts w:eastAsia="Calibri"/>
        </w:rPr>
        <w:t>).</w:t>
      </w:r>
      <w:r w:rsidR="006B6409">
        <w:rPr>
          <w:rFonts w:eastAsia="Calibri"/>
        </w:rPr>
        <w:t xml:space="preserve"> </w:t>
      </w:r>
      <w:r w:rsidRPr="0031451A">
        <w:rPr>
          <w:rFonts w:eastAsia="Calibri"/>
          <w:color w:val="000000"/>
        </w:rPr>
        <w:t xml:space="preserve">The primers and adapter sequences from the 5’ were removed by the sequencing facility. The 3’ primer and adapters, </w:t>
      </w:r>
      <w:r w:rsidRPr="0031451A">
        <w:rPr>
          <w:rFonts w:eastAsia="Calibri"/>
          <w:i/>
          <w:color w:val="000000"/>
        </w:rPr>
        <w:t xml:space="preserve">CTTGGTCATTTAGAGGAAGTAA, </w:t>
      </w:r>
      <w:r w:rsidRPr="0031451A">
        <w:rPr>
          <w:rFonts w:eastAsia="Calibri"/>
          <w:color w:val="000000"/>
        </w:rPr>
        <w:t>were removed using the qiime2-cut-a-dapt plugin (Martin, 2011). Quality control to filter out chimeric sequences and low</w:t>
      </w:r>
      <w:r w:rsidR="006B6409">
        <w:rPr>
          <w:rFonts w:eastAsia="Calibri"/>
          <w:color w:val="000000"/>
        </w:rPr>
        <w:t>-</w:t>
      </w:r>
      <w:r w:rsidRPr="0031451A">
        <w:rPr>
          <w:rFonts w:eastAsia="Calibri"/>
          <w:color w:val="000000"/>
        </w:rPr>
        <w:t xml:space="preserve">quality regions was done by parsing the sequences through DADA2 and truncating the 3’ end to </w:t>
      </w:r>
      <w:r w:rsidR="00140BD7">
        <w:rPr>
          <w:rFonts w:eastAsia="Calibri"/>
        </w:rPr>
        <w:t>150 bp (Callahan et al., 2016)</w:t>
      </w:r>
      <w:r w:rsidRPr="0031451A">
        <w:rPr>
          <w:rFonts w:eastAsia="Calibri"/>
        </w:rPr>
        <w:t>. T</w:t>
      </w:r>
      <w:r w:rsidR="006B6409">
        <w:rPr>
          <w:rFonts w:eastAsia="Calibri"/>
        </w:rPr>
        <w:t>he t</w:t>
      </w:r>
      <w:r w:rsidRPr="0031451A">
        <w:rPr>
          <w:rFonts w:eastAsia="Calibri"/>
        </w:rPr>
        <w:t xml:space="preserve">axonomic analysis was performed by first training a taxonomic classifier using </w:t>
      </w:r>
      <w:r w:rsidR="006B6409">
        <w:rPr>
          <w:rFonts w:eastAsia="Calibri"/>
        </w:rPr>
        <w:t xml:space="preserve">the </w:t>
      </w:r>
      <w:r w:rsidRPr="0031451A">
        <w:rPr>
          <w:rFonts w:eastAsia="Calibri"/>
        </w:rPr>
        <w:t>UNITE reference database with clustering at ≥ 99</w:t>
      </w:r>
      <w:proofErr w:type="gramStart"/>
      <w:r w:rsidRPr="0031451A">
        <w:rPr>
          <w:rFonts w:eastAsia="Calibri"/>
        </w:rPr>
        <w:t>%  reference</w:t>
      </w:r>
      <w:proofErr w:type="gramEnd"/>
      <w:r w:rsidRPr="0031451A">
        <w:rPr>
          <w:rFonts w:eastAsia="Calibri"/>
        </w:rPr>
        <w:t xml:space="preserve"> levels (</w:t>
      </w:r>
      <w:proofErr w:type="spellStart"/>
      <w:r w:rsidRPr="0031451A">
        <w:rPr>
          <w:rFonts w:eastAsia="Calibri"/>
        </w:rPr>
        <w:t>Kõljalg</w:t>
      </w:r>
      <w:proofErr w:type="spellEnd"/>
      <w:r w:rsidRPr="0031451A">
        <w:rPr>
          <w:rFonts w:eastAsia="Calibri"/>
        </w:rPr>
        <w:t xml:space="preserve"> et al</w:t>
      </w:r>
      <w:r w:rsidR="006B6409">
        <w:rPr>
          <w:rFonts w:eastAsia="Calibri"/>
        </w:rPr>
        <w:t>.</w:t>
      </w:r>
      <w:r w:rsidRPr="0031451A">
        <w:rPr>
          <w:rFonts w:eastAsia="Calibri"/>
        </w:rPr>
        <w:t xml:space="preserve"> 2005; UNITE, 2017). The sequences were then assigned taxonomy using the fitted classifier, classify-</w:t>
      </w:r>
      <w:proofErr w:type="spellStart"/>
      <w:r w:rsidRPr="0031451A">
        <w:rPr>
          <w:rFonts w:eastAsia="Calibri"/>
        </w:rPr>
        <w:t>sklearn</w:t>
      </w:r>
      <w:proofErr w:type="spellEnd"/>
      <w:r w:rsidRPr="0031451A">
        <w:rPr>
          <w:rFonts w:eastAsia="Calibri"/>
        </w:rPr>
        <w:t xml:space="preserve"> plugin (</w:t>
      </w:r>
      <w:proofErr w:type="spellStart"/>
      <w:r w:rsidRPr="00140BD7">
        <w:rPr>
          <w:rFonts w:eastAsia="Calibri"/>
        </w:rPr>
        <w:t>Pedregosa</w:t>
      </w:r>
      <w:proofErr w:type="spellEnd"/>
      <w:r w:rsidRPr="00140BD7">
        <w:rPr>
          <w:rFonts w:eastAsia="Calibri"/>
        </w:rPr>
        <w:t xml:space="preserve"> et al., 2011)</w:t>
      </w:r>
      <w:r w:rsidR="006B6409">
        <w:rPr>
          <w:rFonts w:eastAsia="Calibri"/>
        </w:rPr>
        <w:t>,</w:t>
      </w:r>
      <w:r w:rsidRPr="00140BD7">
        <w:rPr>
          <w:rFonts w:eastAsia="Calibri"/>
        </w:rPr>
        <w:t xml:space="preserve"> resulting in a clustered ASV table with 99% similarity, resulting in a table with 8,</w:t>
      </w:r>
      <w:r w:rsidR="00504882" w:rsidRPr="00140BD7">
        <w:rPr>
          <w:rFonts w:eastAsia="Calibri"/>
        </w:rPr>
        <w:t>587</w:t>
      </w:r>
      <w:r w:rsidR="00140BD7" w:rsidRPr="00140BD7">
        <w:rPr>
          <w:rFonts w:eastAsia="Calibri"/>
        </w:rPr>
        <w:t xml:space="preserve"> ASV’s</w:t>
      </w:r>
      <w:r w:rsidR="00140BD7">
        <w:rPr>
          <w:rFonts w:eastAsia="Calibri"/>
        </w:rPr>
        <w:t xml:space="preserve"> and a mean sample frequency of 17,164</w:t>
      </w:r>
      <w:r w:rsidRPr="0031451A">
        <w:rPr>
          <w:rFonts w:eastAsia="Calibri"/>
        </w:rPr>
        <w:t xml:space="preserve"> sequences per sample </w:t>
      </w:r>
      <w:r w:rsidR="00F44E81">
        <w:rPr>
          <w:rFonts w:eastAsia="Calibri"/>
        </w:rPr>
        <w:t xml:space="preserve">for total fungi. </w:t>
      </w:r>
    </w:p>
    <w:p w14:paraId="731D50A6" w14:textId="77777777" w:rsidR="00F44E81" w:rsidRPr="0031451A" w:rsidRDefault="00F44E81" w:rsidP="00A41CA1">
      <w:pPr>
        <w:spacing w:line="480" w:lineRule="auto"/>
        <w:ind w:firstLine="720"/>
        <w:jc w:val="both"/>
        <w:rPr>
          <w:rFonts w:eastAsia="Calibri"/>
          <w:b/>
        </w:rPr>
      </w:pPr>
    </w:p>
    <w:p w14:paraId="46ABD2C3" w14:textId="77777777" w:rsidR="000D60B3" w:rsidRPr="0031451A" w:rsidRDefault="005E5F95" w:rsidP="00A41CA1">
      <w:pPr>
        <w:spacing w:line="480" w:lineRule="auto"/>
        <w:jc w:val="both"/>
        <w:rPr>
          <w:rFonts w:eastAsia="Calibri"/>
          <w:b/>
        </w:rPr>
      </w:pPr>
      <w:r w:rsidRPr="0031451A">
        <w:rPr>
          <w:rFonts w:eastAsia="Calibri"/>
          <w:b/>
        </w:rPr>
        <w:t xml:space="preserve">Assigning taxonomic guild </w:t>
      </w:r>
    </w:p>
    <w:p w14:paraId="48C15064" w14:textId="056B7BF6" w:rsidR="00842C6E" w:rsidRDefault="005E5F95" w:rsidP="00A41CA1">
      <w:pPr>
        <w:spacing w:line="480" w:lineRule="auto"/>
        <w:ind w:firstLine="720"/>
        <w:jc w:val="both"/>
        <w:rPr>
          <w:rFonts w:eastAsia="Calibri"/>
        </w:rPr>
      </w:pPr>
      <w:r w:rsidRPr="0031451A">
        <w:rPr>
          <w:rFonts w:eastAsia="Calibri"/>
        </w:rPr>
        <w:t>Since the ITS1F-ITS2 allow</w:t>
      </w:r>
      <w:r w:rsidR="006B6409">
        <w:rPr>
          <w:rFonts w:eastAsia="Calibri"/>
        </w:rPr>
        <w:t>s for the amplification of all fungal family members</w:t>
      </w:r>
      <w:r w:rsidRPr="0031451A">
        <w:rPr>
          <w:rFonts w:eastAsia="Calibri"/>
        </w:rPr>
        <w:t xml:space="preserve">, the ASV raw table was parsed through </w:t>
      </w:r>
      <w:proofErr w:type="spellStart"/>
      <w:r w:rsidRPr="0031451A">
        <w:rPr>
          <w:rFonts w:eastAsia="Calibri"/>
        </w:rPr>
        <w:t>FUNGuild</w:t>
      </w:r>
      <w:proofErr w:type="spellEnd"/>
      <w:r w:rsidRPr="0031451A">
        <w:rPr>
          <w:rFonts w:eastAsia="Calibri"/>
        </w:rPr>
        <w:t xml:space="preserve"> (Nguyen et al., 2016) to assign guild</w:t>
      </w:r>
      <w:r w:rsidR="00844EF0" w:rsidRPr="0031451A">
        <w:rPr>
          <w:rFonts w:eastAsia="Calibri"/>
        </w:rPr>
        <w:t xml:space="preserve">s. The </w:t>
      </w:r>
      <w:r w:rsidR="00214262" w:rsidRPr="0031451A">
        <w:rPr>
          <w:rFonts w:eastAsia="Calibri"/>
        </w:rPr>
        <w:t>selection of</w:t>
      </w:r>
      <w:r w:rsidR="00844EF0" w:rsidRPr="0031451A">
        <w:rPr>
          <w:rFonts w:eastAsia="Calibri"/>
        </w:rPr>
        <w:t xml:space="preserve"> ectomycorrhizal taxa only</w:t>
      </w:r>
      <w:r w:rsidR="00C66434" w:rsidRPr="0031451A">
        <w:rPr>
          <w:rFonts w:eastAsia="Calibri"/>
        </w:rPr>
        <w:t xml:space="preserve"> was performed by going through the </w:t>
      </w:r>
      <w:proofErr w:type="spellStart"/>
      <w:r w:rsidR="00C66434" w:rsidRPr="0031451A">
        <w:rPr>
          <w:rFonts w:eastAsia="Calibri"/>
        </w:rPr>
        <w:t>funguild</w:t>
      </w:r>
      <w:proofErr w:type="spellEnd"/>
      <w:r w:rsidR="00C66434" w:rsidRPr="0031451A">
        <w:rPr>
          <w:rFonts w:eastAsia="Calibri"/>
        </w:rPr>
        <w:t xml:space="preserve"> output to verify </w:t>
      </w:r>
      <w:r w:rsidR="006B6409">
        <w:rPr>
          <w:rFonts w:eastAsia="Calibri"/>
        </w:rPr>
        <w:t xml:space="preserve">the </w:t>
      </w:r>
      <w:r w:rsidR="00C66434" w:rsidRPr="0031451A">
        <w:rPr>
          <w:rFonts w:eastAsia="Calibri"/>
        </w:rPr>
        <w:t xml:space="preserve">taxonomic assignment. </w:t>
      </w:r>
      <w:r w:rsidR="00F44E81">
        <w:rPr>
          <w:rFonts w:eastAsia="Calibri"/>
        </w:rPr>
        <w:t xml:space="preserve">Ectomycorrhizal </w:t>
      </w:r>
      <w:proofErr w:type="spellStart"/>
      <w:r w:rsidR="00F44E81">
        <w:rPr>
          <w:rFonts w:eastAsia="Calibri"/>
        </w:rPr>
        <w:t>Funguild</w:t>
      </w:r>
      <w:proofErr w:type="spellEnd"/>
      <w:r w:rsidR="00F44E81">
        <w:rPr>
          <w:rFonts w:eastAsia="Calibri"/>
        </w:rPr>
        <w:t xml:space="preserve"> assignment was accepted at all three confidence rankings of </w:t>
      </w:r>
      <w:proofErr w:type="spellStart"/>
      <w:r w:rsidR="00F44E81">
        <w:rPr>
          <w:rFonts w:eastAsia="Calibri"/>
        </w:rPr>
        <w:t>FunGuild</w:t>
      </w:r>
      <w:proofErr w:type="spellEnd"/>
      <w:r w:rsidR="00F44E81">
        <w:rPr>
          <w:rFonts w:eastAsia="Calibri"/>
        </w:rPr>
        <w:t>, including “possible</w:t>
      </w:r>
      <w:r w:rsidR="006B6409">
        <w:rPr>
          <w:rFonts w:eastAsia="Calibri"/>
        </w:rPr>
        <w:t>,”</w:t>
      </w:r>
      <w:r w:rsidR="00F44E81">
        <w:rPr>
          <w:rFonts w:eastAsia="Calibri"/>
        </w:rPr>
        <w:t xml:space="preserve"> “probable</w:t>
      </w:r>
      <w:r w:rsidR="006B6409">
        <w:rPr>
          <w:rFonts w:eastAsia="Calibri"/>
        </w:rPr>
        <w:t>,”</w:t>
      </w:r>
      <w:r w:rsidR="00F44E81">
        <w:rPr>
          <w:rFonts w:eastAsia="Calibri"/>
        </w:rPr>
        <w:t xml:space="preserve"> and “highly probable</w:t>
      </w:r>
      <w:r w:rsidR="006B6409">
        <w:rPr>
          <w:rFonts w:eastAsia="Calibri"/>
        </w:rPr>
        <w:t>.”</w:t>
      </w:r>
      <w:r w:rsidR="00F44E81">
        <w:rPr>
          <w:rFonts w:eastAsia="Calibri"/>
        </w:rPr>
        <w:t xml:space="preserve"> However, the lower the confidence level, </w:t>
      </w:r>
      <w:proofErr w:type="spellStart"/>
      <w:r w:rsidR="00F44E81">
        <w:rPr>
          <w:rFonts w:eastAsia="Calibri"/>
        </w:rPr>
        <w:t>e.i.</w:t>
      </w:r>
      <w:proofErr w:type="spellEnd"/>
      <w:r w:rsidR="00F44E81">
        <w:rPr>
          <w:rFonts w:eastAsia="Calibri"/>
        </w:rPr>
        <w:t xml:space="preserve"> “possible</w:t>
      </w:r>
      <w:r w:rsidR="006B6409">
        <w:rPr>
          <w:rFonts w:eastAsia="Calibri"/>
        </w:rPr>
        <w:t>,”</w:t>
      </w:r>
      <w:r w:rsidR="00AA3EFA">
        <w:rPr>
          <w:rFonts w:eastAsia="Calibri"/>
        </w:rPr>
        <w:t xml:space="preserve"> the </w:t>
      </w:r>
      <w:r w:rsidR="006B6409">
        <w:rPr>
          <w:rFonts w:eastAsia="Calibri"/>
        </w:rPr>
        <w:t>sample was most likely</w:t>
      </w:r>
      <w:r w:rsidR="00AA3EFA">
        <w:rPr>
          <w:rFonts w:eastAsia="Calibri"/>
        </w:rPr>
        <w:t xml:space="preserve"> classified with multiple life</w:t>
      </w:r>
      <w:r w:rsidR="00F44E81" w:rsidRPr="00F44E81">
        <w:rPr>
          <w:rFonts w:eastAsia="Calibri"/>
        </w:rPr>
        <w:t>st</w:t>
      </w:r>
      <w:r w:rsidR="00AA3EFA">
        <w:rPr>
          <w:rFonts w:eastAsia="Calibri"/>
        </w:rPr>
        <w:t xml:space="preserve">yles. In such cases, we assigned a </w:t>
      </w:r>
      <w:r w:rsidR="00F44E81" w:rsidRPr="00F44E81">
        <w:rPr>
          <w:rFonts w:eastAsia="Calibri"/>
        </w:rPr>
        <w:t xml:space="preserve">single taxonomy based on their </w:t>
      </w:r>
      <w:r w:rsidR="006B6409">
        <w:rPr>
          <w:rFonts w:eastAsia="Calibri"/>
        </w:rPr>
        <w:t>literature description</w:t>
      </w:r>
      <w:r w:rsidR="00F44E81" w:rsidRPr="00F44E81">
        <w:rPr>
          <w:rFonts w:eastAsia="Calibri"/>
        </w:rPr>
        <w:t xml:space="preserve">, </w:t>
      </w:r>
      <w:r w:rsidR="00AA3EFA">
        <w:rPr>
          <w:rFonts w:eastAsia="Calibri"/>
        </w:rPr>
        <w:t xml:space="preserve">where </w:t>
      </w:r>
      <w:r w:rsidR="00F44E81" w:rsidRPr="00F44E81">
        <w:rPr>
          <w:rFonts w:eastAsia="Calibri"/>
        </w:rPr>
        <w:lastRenderedPageBreak/>
        <w:t xml:space="preserve">3+ assignments as </w:t>
      </w:r>
      <w:proofErr w:type="spellStart"/>
      <w:r w:rsidR="00842C6E">
        <w:rPr>
          <w:rFonts w:eastAsia="Calibri"/>
        </w:rPr>
        <w:t>EcM</w:t>
      </w:r>
      <w:proofErr w:type="spellEnd"/>
      <w:r w:rsidR="00F44E81" w:rsidRPr="00F44E81">
        <w:rPr>
          <w:rFonts w:eastAsia="Calibri"/>
        </w:rPr>
        <w:t xml:space="preserve"> </w:t>
      </w:r>
      <w:r w:rsidR="006B6409">
        <w:rPr>
          <w:rFonts w:eastAsia="Calibri"/>
        </w:rPr>
        <w:t xml:space="preserve">or saprobic </w:t>
      </w:r>
      <w:r w:rsidR="00F44E81" w:rsidRPr="00F44E81">
        <w:rPr>
          <w:rFonts w:eastAsia="Calibri"/>
        </w:rPr>
        <w:t>fungi resulted in them bein</w:t>
      </w:r>
      <w:r w:rsidR="00AA3EFA">
        <w:rPr>
          <w:rFonts w:eastAsia="Calibri"/>
        </w:rPr>
        <w:t>g classified as ectomycorrhizal</w:t>
      </w:r>
      <w:r w:rsidR="006B6409">
        <w:rPr>
          <w:rFonts w:eastAsia="Calibri"/>
        </w:rPr>
        <w:t xml:space="preserve"> or saprobic</w:t>
      </w:r>
      <w:r w:rsidR="00AA3EFA">
        <w:rPr>
          <w:rFonts w:eastAsia="Calibri"/>
        </w:rPr>
        <w:t xml:space="preserve"> in our ASV table. We used R studio to create an </w:t>
      </w:r>
      <w:proofErr w:type="spellStart"/>
      <w:r w:rsidR="00AA3EFA">
        <w:rPr>
          <w:rFonts w:eastAsia="Calibri"/>
        </w:rPr>
        <w:t>EcM</w:t>
      </w:r>
      <w:proofErr w:type="spellEnd"/>
      <w:r w:rsidR="00AA3EFA">
        <w:rPr>
          <w:rFonts w:eastAsia="Calibri"/>
        </w:rPr>
        <w:t xml:space="preserve"> </w:t>
      </w:r>
      <w:r w:rsidR="006B6409">
        <w:rPr>
          <w:rFonts w:eastAsia="Calibri"/>
        </w:rPr>
        <w:t xml:space="preserve">and saprobic </w:t>
      </w:r>
      <w:r w:rsidR="00AA3EFA">
        <w:rPr>
          <w:rFonts w:eastAsia="Calibri"/>
        </w:rPr>
        <w:t xml:space="preserve">ASV table by selecting all taxa classified as </w:t>
      </w:r>
      <w:proofErr w:type="spellStart"/>
      <w:r w:rsidR="00AA3EFA">
        <w:rPr>
          <w:rFonts w:eastAsia="Calibri"/>
        </w:rPr>
        <w:t>EcM</w:t>
      </w:r>
      <w:proofErr w:type="spellEnd"/>
      <w:r w:rsidR="00AA3EFA">
        <w:rPr>
          <w:rFonts w:eastAsia="Calibri"/>
        </w:rPr>
        <w:t xml:space="preserve"> on the full fungal table. </w:t>
      </w:r>
      <w:r w:rsidR="00842C6E">
        <w:rPr>
          <w:rFonts w:eastAsia="Calibri"/>
        </w:rPr>
        <w:t>A similar protocol was followed to create a saprobic only table.</w:t>
      </w:r>
    </w:p>
    <w:p w14:paraId="3B35E618" w14:textId="77777777" w:rsidR="00844EF0" w:rsidRPr="0031451A" w:rsidRDefault="00844EF0" w:rsidP="00A41CA1">
      <w:pPr>
        <w:spacing w:line="480" w:lineRule="auto"/>
        <w:jc w:val="both"/>
        <w:rPr>
          <w:rFonts w:eastAsia="Calibri"/>
          <w:b/>
          <w:color w:val="000000"/>
        </w:rPr>
      </w:pPr>
    </w:p>
    <w:p w14:paraId="1DC8F16D" w14:textId="5696943A" w:rsidR="000D60B3" w:rsidRPr="0031451A" w:rsidRDefault="005E5F95" w:rsidP="00A41CA1">
      <w:pPr>
        <w:spacing w:line="480" w:lineRule="auto"/>
        <w:jc w:val="both"/>
        <w:rPr>
          <w:rFonts w:eastAsia="Calibri"/>
          <w:color w:val="000000"/>
        </w:rPr>
      </w:pPr>
      <w:r w:rsidRPr="0031451A">
        <w:rPr>
          <w:rFonts w:eastAsia="Calibri"/>
          <w:b/>
          <w:color w:val="000000"/>
        </w:rPr>
        <w:t>Ectomycorrhizal bioinformatics</w:t>
      </w:r>
      <w:r w:rsidR="00D77E05">
        <w:rPr>
          <w:rFonts w:eastAsia="Calibri"/>
          <w:b/>
          <w:color w:val="000000"/>
        </w:rPr>
        <w:t xml:space="preserve"> (rarefaction 55)</w:t>
      </w:r>
    </w:p>
    <w:p w14:paraId="40E299BF" w14:textId="0FBDE9F0" w:rsidR="00947206" w:rsidRDefault="005E5F95" w:rsidP="00A41CA1">
      <w:pPr>
        <w:spacing w:line="480" w:lineRule="auto"/>
        <w:ind w:firstLine="720"/>
        <w:jc w:val="both"/>
        <w:rPr>
          <w:rFonts w:eastAsia="Calibri"/>
        </w:rPr>
      </w:pPr>
      <w:r w:rsidRPr="0031451A">
        <w:rPr>
          <w:rFonts w:eastAsia="Calibri"/>
          <w:color w:val="000000"/>
        </w:rPr>
        <w:t xml:space="preserve">The </w:t>
      </w:r>
      <w:r w:rsidR="00136B10" w:rsidRPr="0031451A">
        <w:rPr>
          <w:rFonts w:eastAsia="Calibri"/>
          <w:color w:val="000000"/>
        </w:rPr>
        <w:t xml:space="preserve">ASV table with </w:t>
      </w:r>
      <w:proofErr w:type="spellStart"/>
      <w:r w:rsidRPr="0031451A">
        <w:rPr>
          <w:rFonts w:eastAsia="Calibri"/>
          <w:color w:val="000000"/>
        </w:rPr>
        <w:t>FUNGuild</w:t>
      </w:r>
      <w:proofErr w:type="spellEnd"/>
      <w:r w:rsidRPr="0031451A">
        <w:rPr>
          <w:rFonts w:eastAsia="Calibri"/>
          <w:color w:val="000000"/>
        </w:rPr>
        <w:t xml:space="preserve"> </w:t>
      </w:r>
      <w:r w:rsidR="00345ADB">
        <w:rPr>
          <w:rFonts w:eastAsia="Calibri"/>
          <w:color w:val="000000"/>
        </w:rPr>
        <w:t xml:space="preserve">output was used in R </w:t>
      </w:r>
      <w:r w:rsidR="00136B10" w:rsidRPr="0031451A">
        <w:rPr>
          <w:rFonts w:eastAsia="Calibri"/>
          <w:color w:val="000000"/>
        </w:rPr>
        <w:t xml:space="preserve">to subset all ASV’s </w:t>
      </w:r>
      <w:r w:rsidR="00136B10" w:rsidRPr="0031451A">
        <w:rPr>
          <w:rFonts w:eastAsia="Calibri"/>
        </w:rPr>
        <w:t xml:space="preserve">belonging to the </w:t>
      </w:r>
      <w:proofErr w:type="spellStart"/>
      <w:r w:rsidR="00136B10" w:rsidRPr="0031451A">
        <w:rPr>
          <w:rFonts w:eastAsia="Calibri"/>
        </w:rPr>
        <w:t>EcM</w:t>
      </w:r>
      <w:proofErr w:type="spellEnd"/>
      <w:r w:rsidR="00136B10" w:rsidRPr="0031451A">
        <w:rPr>
          <w:rFonts w:eastAsia="Calibri"/>
        </w:rPr>
        <w:t xml:space="preserve"> </w:t>
      </w:r>
      <w:r w:rsidR="00136B10" w:rsidRPr="00345ADB">
        <w:rPr>
          <w:rFonts w:eastAsia="Calibri"/>
        </w:rPr>
        <w:t xml:space="preserve">guild. </w:t>
      </w:r>
      <w:r w:rsidRPr="00345ADB">
        <w:rPr>
          <w:rFonts w:eastAsia="Calibri"/>
        </w:rPr>
        <w:t xml:space="preserve"> This resulted in a total of </w:t>
      </w:r>
      <w:r w:rsidR="00345ADB" w:rsidRPr="00345ADB">
        <w:rPr>
          <w:rFonts w:eastAsia="Calibri"/>
        </w:rPr>
        <w:t>889 ASV</w:t>
      </w:r>
      <w:r w:rsidRPr="00345ADB">
        <w:rPr>
          <w:rFonts w:eastAsia="Calibri"/>
        </w:rPr>
        <w:t xml:space="preserve">’s. </w:t>
      </w:r>
      <w:r w:rsidRPr="00345ADB">
        <w:rPr>
          <w:rFonts w:eastAsia="Calibri"/>
          <w:color w:val="000000"/>
        </w:rPr>
        <w:t xml:space="preserve">This table was additionally rarefied to remove the bottom </w:t>
      </w:r>
      <w:r w:rsidR="00043E3A">
        <w:rPr>
          <w:rFonts w:eastAsia="Calibri"/>
          <w:color w:val="000000"/>
        </w:rPr>
        <w:t>7</w:t>
      </w:r>
      <w:r w:rsidRPr="00345ADB">
        <w:rPr>
          <w:rFonts w:eastAsia="Calibri"/>
          <w:color w:val="000000"/>
        </w:rPr>
        <w:t>% of the sequences to account for uneven sequencing depth, but because the burned sites were</w:t>
      </w:r>
      <w:r w:rsidR="006B6409">
        <w:rPr>
          <w:rFonts w:eastAsia="Calibri"/>
          <w:color w:val="000000"/>
        </w:rPr>
        <w:t>,</w:t>
      </w:r>
      <w:r w:rsidRPr="00345ADB">
        <w:rPr>
          <w:rFonts w:eastAsia="Calibri"/>
          <w:color w:val="000000"/>
        </w:rPr>
        <w:t xml:space="preserve"> </w:t>
      </w:r>
      <w:r w:rsidR="006B6409">
        <w:rPr>
          <w:rFonts w:eastAsia="Calibri"/>
          <w:color w:val="000000"/>
        </w:rPr>
        <w:t>o</w:t>
      </w:r>
      <w:r w:rsidRPr="00345ADB">
        <w:rPr>
          <w:rFonts w:eastAsia="Calibri"/>
          <w:color w:val="000000"/>
        </w:rPr>
        <w:t>n average</w:t>
      </w:r>
      <w:r w:rsidR="006B6409">
        <w:rPr>
          <w:rFonts w:eastAsia="Calibri"/>
          <w:color w:val="000000"/>
        </w:rPr>
        <w:t>,</w:t>
      </w:r>
      <w:r w:rsidRPr="00345ADB">
        <w:rPr>
          <w:rFonts w:eastAsia="Calibri"/>
          <w:color w:val="000000"/>
        </w:rPr>
        <w:t xml:space="preserve"> low in comparison to the burned units, the sequencing depth had to be maintained on the lower spectr</w:t>
      </w:r>
      <w:r w:rsidR="00947206" w:rsidRPr="00345ADB">
        <w:rPr>
          <w:rFonts w:eastAsia="Calibri"/>
          <w:color w:val="000000"/>
        </w:rPr>
        <w:t>um in order minimize discarding</w:t>
      </w:r>
      <w:r w:rsidR="006B6409">
        <w:rPr>
          <w:rFonts w:eastAsia="Calibri"/>
          <w:color w:val="000000"/>
        </w:rPr>
        <w:t xml:space="preserve"> samples</w:t>
      </w:r>
      <w:r w:rsidR="00947206" w:rsidRPr="00345ADB">
        <w:rPr>
          <w:rFonts w:eastAsia="Calibri"/>
          <w:color w:val="000000"/>
        </w:rPr>
        <w:t xml:space="preserve">. </w:t>
      </w:r>
      <w:r w:rsidR="00947206" w:rsidRPr="00345ADB">
        <w:rPr>
          <w:rFonts w:eastAsia="Calibri"/>
        </w:rPr>
        <w:t xml:space="preserve">The raw table was rarefied in R to </w:t>
      </w:r>
      <w:r w:rsidR="005B7A8F">
        <w:rPr>
          <w:rFonts w:eastAsia="Calibri"/>
        </w:rPr>
        <w:t>retain</w:t>
      </w:r>
      <w:r w:rsidR="005B7A8F" w:rsidRPr="005B7A8F">
        <w:rPr>
          <w:rFonts w:eastAsia="Calibri"/>
        </w:rPr>
        <w:t xml:space="preserve"> </w:t>
      </w:r>
      <w:r w:rsidR="00043E3A">
        <w:rPr>
          <w:rFonts w:eastAsia="Calibri"/>
        </w:rPr>
        <w:t>13,790</w:t>
      </w:r>
      <w:r w:rsidR="005B7A8F" w:rsidRPr="005B7A8F">
        <w:rPr>
          <w:rFonts w:eastAsia="Calibri"/>
        </w:rPr>
        <w:t xml:space="preserve"> (</w:t>
      </w:r>
      <w:r w:rsidR="00043E3A">
        <w:rPr>
          <w:rFonts w:eastAsia="Calibri"/>
        </w:rPr>
        <w:t>1.28</w:t>
      </w:r>
      <w:r w:rsidR="005B7A8F" w:rsidRPr="005B7A8F">
        <w:rPr>
          <w:rFonts w:eastAsia="Calibri"/>
        </w:rPr>
        <w:t xml:space="preserve">%) features </w:t>
      </w:r>
      <w:r w:rsidR="005B7A8F">
        <w:rPr>
          <w:rFonts w:eastAsia="Calibri"/>
        </w:rPr>
        <w:t>in 19</w:t>
      </w:r>
      <w:r w:rsidR="00043E3A">
        <w:rPr>
          <w:rFonts w:eastAsia="Calibri"/>
        </w:rPr>
        <w:t>7</w:t>
      </w:r>
      <w:r w:rsidR="005B7A8F">
        <w:rPr>
          <w:rFonts w:eastAsia="Calibri"/>
        </w:rPr>
        <w:t xml:space="preserve"> (</w:t>
      </w:r>
      <w:r w:rsidR="00043E3A">
        <w:rPr>
          <w:rFonts w:eastAsia="Calibri"/>
        </w:rPr>
        <w:t>93.81</w:t>
      </w:r>
      <w:r w:rsidR="005B7A8F">
        <w:rPr>
          <w:rFonts w:eastAsia="Calibri"/>
        </w:rPr>
        <w:t xml:space="preserve">%) samples at the sampling depth of </w:t>
      </w:r>
      <w:r w:rsidR="007010AC">
        <w:rPr>
          <w:rFonts w:eastAsia="Calibri"/>
        </w:rPr>
        <w:t>70</w:t>
      </w:r>
      <w:r w:rsidR="00947206" w:rsidRPr="00345ADB">
        <w:rPr>
          <w:rFonts w:eastAsia="Calibri"/>
        </w:rPr>
        <w:t xml:space="preserve"> sequences/samples, resulting in a</w:t>
      </w:r>
      <w:r w:rsidR="006B6409">
        <w:rPr>
          <w:rFonts w:eastAsia="Calibri"/>
        </w:rPr>
        <w:t>n</w:t>
      </w:r>
      <w:r w:rsidR="00947206" w:rsidRPr="00345ADB">
        <w:rPr>
          <w:rFonts w:eastAsia="Calibri"/>
        </w:rPr>
        <w:t xml:space="preserve"> </w:t>
      </w:r>
      <w:proofErr w:type="spellStart"/>
      <w:r w:rsidR="00947206" w:rsidRPr="00345ADB">
        <w:rPr>
          <w:rFonts w:eastAsia="Calibri"/>
        </w:rPr>
        <w:t>EcM</w:t>
      </w:r>
      <w:proofErr w:type="spellEnd"/>
      <w:r w:rsidR="00947206" w:rsidRPr="00345ADB">
        <w:rPr>
          <w:rFonts w:eastAsia="Calibri"/>
        </w:rPr>
        <w:t xml:space="preserve"> table with 629 ASV’s.</w:t>
      </w:r>
      <w:r w:rsidR="00947206">
        <w:rPr>
          <w:rFonts w:eastAsia="Calibri"/>
        </w:rPr>
        <w:t xml:space="preserve"> Although we would have liked to retain a higher number of sequences, this was difficult to achieve as we would have lost too many of the burned samples. A similar protocol was performed to attain the saprobic table; however, more taxa were classified as having a saprobic lifestyle</w:t>
      </w:r>
      <w:r w:rsidR="006B6409">
        <w:rPr>
          <w:rFonts w:eastAsia="Calibri"/>
        </w:rPr>
        <w:t>. Thus,</w:t>
      </w:r>
      <w:r w:rsidR="00947206">
        <w:rPr>
          <w:rFonts w:eastAsia="Calibri"/>
        </w:rPr>
        <w:t xml:space="preserve"> we were able to rarefy to 2,</w:t>
      </w:r>
      <w:r w:rsidR="00043E3A">
        <w:rPr>
          <w:rFonts w:eastAsia="Calibri"/>
        </w:rPr>
        <w:t xml:space="preserve">200 </w:t>
      </w:r>
      <w:r w:rsidR="00947206">
        <w:rPr>
          <w:rFonts w:eastAsia="Calibri"/>
        </w:rPr>
        <w:t xml:space="preserve">sequences/sample, resulting in a saprobic table with </w:t>
      </w:r>
      <w:r w:rsidR="00947206" w:rsidRPr="00456C2C">
        <w:rPr>
          <w:rFonts w:eastAsia="Calibri"/>
        </w:rPr>
        <w:t>2</w:t>
      </w:r>
      <w:r w:rsidR="00043E3A">
        <w:rPr>
          <w:rFonts w:eastAsia="Calibri"/>
        </w:rPr>
        <w:t>850</w:t>
      </w:r>
      <w:r w:rsidR="00947206" w:rsidRPr="00456C2C">
        <w:rPr>
          <w:rFonts w:eastAsia="Calibri"/>
        </w:rPr>
        <w:t xml:space="preserve"> ASV</w:t>
      </w:r>
      <w:r w:rsidR="00947206">
        <w:rPr>
          <w:rFonts w:eastAsia="Calibri"/>
        </w:rPr>
        <w:t>’s</w:t>
      </w:r>
      <w:r w:rsidR="00043E3A">
        <w:rPr>
          <w:rFonts w:eastAsia="Calibri"/>
        </w:rPr>
        <w:t xml:space="preserve"> and 448,800 sequences/sample in 204 (95.77%) of the samples. </w:t>
      </w:r>
      <w:r w:rsidR="00947206">
        <w:rPr>
          <w:rFonts w:eastAsia="Calibri"/>
        </w:rPr>
        <w:t xml:space="preserve"> </w:t>
      </w:r>
      <w:r w:rsidR="006B6409">
        <w:rPr>
          <w:rFonts w:eastAsia="Calibri"/>
        </w:rPr>
        <w:t xml:space="preserve">Note out of 216 samples, 3 samples failed to amplify, thus ASV tables were created from the amplification and sequencing of 213 samples. </w:t>
      </w:r>
    </w:p>
    <w:p w14:paraId="5031023D" w14:textId="77777777" w:rsidR="000D60B3" w:rsidRPr="0031451A" w:rsidRDefault="000D60B3" w:rsidP="00A41CA1">
      <w:pPr>
        <w:spacing w:line="480" w:lineRule="auto"/>
        <w:jc w:val="both"/>
        <w:rPr>
          <w:rFonts w:eastAsia="Calibri"/>
          <w:b/>
        </w:rPr>
      </w:pPr>
    </w:p>
    <w:p w14:paraId="032FAD70" w14:textId="77777777" w:rsidR="000D60B3" w:rsidRPr="0031451A" w:rsidRDefault="000D60B3" w:rsidP="00A41CA1">
      <w:pPr>
        <w:widowControl w:val="0"/>
        <w:spacing w:line="480" w:lineRule="auto"/>
        <w:rPr>
          <w:rFonts w:eastAsia="Calibri"/>
          <w:b/>
        </w:rPr>
      </w:pPr>
    </w:p>
    <w:sectPr w:rsidR="000D60B3" w:rsidRPr="0031451A">
      <w:headerReference w:type="default" r:id="rId8"/>
      <w:type w:val="continuous"/>
      <w:pgSz w:w="12240" w:h="15840"/>
      <w:pgMar w:top="1440" w:right="1440" w:bottom="1440" w:left="1440" w:header="709" w:footer="709"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F9804" w14:textId="77777777" w:rsidR="002178D4" w:rsidRDefault="002178D4">
      <w:r>
        <w:separator/>
      </w:r>
    </w:p>
  </w:endnote>
  <w:endnote w:type="continuationSeparator" w:id="0">
    <w:p w14:paraId="51106D54" w14:textId="77777777" w:rsidR="002178D4" w:rsidRDefault="00217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55E1D" w14:textId="202E685F" w:rsidR="005E5F95" w:rsidRDefault="005E5F9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10355">
      <w:rPr>
        <w:noProof/>
        <w:color w:val="000000"/>
      </w:rPr>
      <w:t>1</w:t>
    </w:r>
    <w:r>
      <w:rPr>
        <w:color w:val="000000"/>
      </w:rPr>
      <w:fldChar w:fldCharType="end"/>
    </w:r>
  </w:p>
  <w:p w14:paraId="40484B69" w14:textId="77777777" w:rsidR="005E5F95" w:rsidRDefault="005E5F9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999A1" w14:textId="77777777" w:rsidR="002178D4" w:rsidRDefault="002178D4">
      <w:r>
        <w:separator/>
      </w:r>
    </w:p>
  </w:footnote>
  <w:footnote w:type="continuationSeparator" w:id="0">
    <w:p w14:paraId="5B7C6588" w14:textId="77777777" w:rsidR="002178D4" w:rsidRDefault="00217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B412B" w14:textId="77777777" w:rsidR="005E5F95" w:rsidRDefault="005E5F95">
    <w:pPr>
      <w:pBdr>
        <w:top w:val="nil"/>
        <w:left w:val="nil"/>
        <w:bottom w:val="nil"/>
        <w:right w:val="nil"/>
        <w:between w:val="nil"/>
      </w:pBdr>
      <w:tabs>
        <w:tab w:val="center" w:pos="4320"/>
        <w:tab w:val="right" w:pos="8640"/>
      </w:tabs>
      <w:rPr>
        <w:b/>
        <w:color w:val="999999"/>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1MjcxtzQ0NDYwMLFQ0lEKTi0uzszPAykwqwUAK1kPEiwAAAA="/>
  </w:docVars>
  <w:rsids>
    <w:rsidRoot w:val="000D60B3"/>
    <w:rsid w:val="000037B6"/>
    <w:rsid w:val="00043E3A"/>
    <w:rsid w:val="000650D2"/>
    <w:rsid w:val="000D60B3"/>
    <w:rsid w:val="000F3D8B"/>
    <w:rsid w:val="00136B10"/>
    <w:rsid w:val="00140BD7"/>
    <w:rsid w:val="001C5221"/>
    <w:rsid w:val="00214262"/>
    <w:rsid w:val="002178D4"/>
    <w:rsid w:val="00264945"/>
    <w:rsid w:val="002838B9"/>
    <w:rsid w:val="0031451A"/>
    <w:rsid w:val="00345ADB"/>
    <w:rsid w:val="003E5ECC"/>
    <w:rsid w:val="00456C2C"/>
    <w:rsid w:val="004D7586"/>
    <w:rsid w:val="00504882"/>
    <w:rsid w:val="005B7A8F"/>
    <w:rsid w:val="005E5F95"/>
    <w:rsid w:val="006B6409"/>
    <w:rsid w:val="007010AC"/>
    <w:rsid w:val="0074680C"/>
    <w:rsid w:val="0075631F"/>
    <w:rsid w:val="007E3489"/>
    <w:rsid w:val="00841649"/>
    <w:rsid w:val="00842C6E"/>
    <w:rsid w:val="00844EF0"/>
    <w:rsid w:val="008719B9"/>
    <w:rsid w:val="00894A75"/>
    <w:rsid w:val="00947206"/>
    <w:rsid w:val="00A41CA1"/>
    <w:rsid w:val="00AA3EFA"/>
    <w:rsid w:val="00AC4A00"/>
    <w:rsid w:val="00B60E88"/>
    <w:rsid w:val="00BC2EDA"/>
    <w:rsid w:val="00C66434"/>
    <w:rsid w:val="00D77E05"/>
    <w:rsid w:val="00DA589E"/>
    <w:rsid w:val="00E660FE"/>
    <w:rsid w:val="00EC0691"/>
    <w:rsid w:val="00F10355"/>
    <w:rsid w:val="00F44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1FDD"/>
  <w15:docId w15:val="{ACD2A421-52D0-447A-B6B8-BAAD26E26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AE"/>
  </w:style>
  <w:style w:type="paragraph" w:styleId="Heading1">
    <w:name w:val="heading 1"/>
    <w:basedOn w:val="Normal"/>
    <w:next w:val="Normal"/>
    <w:qFormat/>
    <w:rsid w:val="00C72DAE"/>
    <w:pPr>
      <w:keepNext/>
      <w:outlineLvl w:val="0"/>
    </w:pPr>
    <w:rPr>
      <w:i/>
      <w:iCs/>
    </w:rPr>
  </w:style>
  <w:style w:type="paragraph" w:styleId="Heading2">
    <w:name w:val="heading 2"/>
    <w:basedOn w:val="Normal"/>
    <w:next w:val="Normal"/>
    <w:qFormat/>
    <w:rsid w:val="00C72DAE"/>
    <w:pPr>
      <w:keepNext/>
      <w:outlineLvl w:val="1"/>
    </w:pPr>
    <w:rPr>
      <w:b/>
      <w:bCs/>
      <w:lang w:val="en-US"/>
    </w:rPr>
  </w:style>
  <w:style w:type="paragraph" w:styleId="Heading3">
    <w:name w:val="heading 3"/>
    <w:basedOn w:val="Normal"/>
    <w:next w:val="Normal"/>
    <w:qFormat/>
    <w:rsid w:val="00C72DAE"/>
    <w:pPr>
      <w:keepNext/>
      <w:outlineLvl w:val="2"/>
    </w:pPr>
    <w:rPr>
      <w:u w:val="single"/>
      <w:lang w:val="en-US"/>
    </w:rPr>
  </w:style>
  <w:style w:type="paragraph" w:styleId="Heading4">
    <w:name w:val="heading 4"/>
    <w:basedOn w:val="Normal"/>
    <w:next w:val="Normal"/>
    <w:qFormat/>
    <w:rsid w:val="00C72DAE"/>
    <w:pPr>
      <w:keepNext/>
      <w:jc w:val="center"/>
      <w:outlineLvl w:val="3"/>
    </w:pPr>
    <w:rPr>
      <w:b/>
      <w:bCs/>
    </w:rPr>
  </w:style>
  <w:style w:type="paragraph" w:styleId="Heading5">
    <w:name w:val="heading 5"/>
    <w:basedOn w:val="Normal"/>
    <w:next w:val="Normal"/>
    <w:qFormat/>
    <w:rsid w:val="00C72DAE"/>
    <w:pPr>
      <w:keepNext/>
      <w:autoSpaceDE w:val="0"/>
      <w:autoSpaceDN w:val="0"/>
      <w:adjustRightInd w:val="0"/>
      <w:jc w:val="center"/>
      <w:outlineLvl w:val="4"/>
    </w:pPr>
    <w:rPr>
      <w:i/>
      <w:iCs/>
      <w:color w:val="000000"/>
      <w:szCs w:val="18"/>
      <w:lang w:val="en-US"/>
    </w:rPr>
  </w:style>
  <w:style w:type="paragraph" w:styleId="Heading6">
    <w:name w:val="heading 6"/>
    <w:basedOn w:val="Normal"/>
    <w:next w:val="Normal"/>
    <w:qFormat/>
    <w:rsid w:val="00C72DAE"/>
    <w:pPr>
      <w:keepNext/>
      <w:tabs>
        <w:tab w:val="center" w:pos="5126"/>
      </w:tabs>
      <w:autoSpaceDE w:val="0"/>
      <w:autoSpaceDN w:val="0"/>
      <w:adjustRightInd w:val="0"/>
      <w:outlineLvl w:val="5"/>
    </w:pPr>
    <w:rPr>
      <w:rFonts w:ascii="Arial" w:hAnsi="Arial" w:cs="Arial"/>
      <w:b/>
      <w:bCs/>
      <w:color w:val="000000"/>
      <w:sz w:val="18"/>
      <w:szCs w:val="18"/>
      <w:lang w:val="en-US"/>
    </w:rPr>
  </w:style>
  <w:style w:type="paragraph" w:styleId="Heading7">
    <w:name w:val="heading 7"/>
    <w:basedOn w:val="Normal"/>
    <w:next w:val="Normal"/>
    <w:qFormat/>
    <w:rsid w:val="00C72DAE"/>
    <w:pPr>
      <w:keepNext/>
      <w:outlineLvl w:val="6"/>
    </w:pPr>
    <w:rPr>
      <w:szCs w:val="20"/>
      <w:u w:val="single"/>
      <w:lang w:val="en-US"/>
    </w:rPr>
  </w:style>
  <w:style w:type="paragraph" w:styleId="Heading8">
    <w:name w:val="heading 8"/>
    <w:basedOn w:val="Normal"/>
    <w:next w:val="Normal"/>
    <w:qFormat/>
    <w:rsid w:val="00C72DAE"/>
    <w:pPr>
      <w:keepNext/>
      <w:tabs>
        <w:tab w:val="center" w:pos="5284"/>
      </w:tabs>
      <w:autoSpaceDE w:val="0"/>
      <w:autoSpaceDN w:val="0"/>
      <w:adjustRightInd w:val="0"/>
      <w:outlineLvl w:val="7"/>
    </w:pPr>
    <w:rPr>
      <w:b/>
      <w:bCs/>
      <w:color w:val="000000"/>
      <w:szCs w:val="18"/>
      <w:lang w:val="en-US"/>
    </w:rPr>
  </w:style>
  <w:style w:type="paragraph" w:styleId="Heading9">
    <w:name w:val="heading 9"/>
    <w:basedOn w:val="Normal"/>
    <w:next w:val="Normal"/>
    <w:qFormat/>
    <w:rsid w:val="00C72DAE"/>
    <w:pPr>
      <w:keepNext/>
      <w:outlineLvl w:val="8"/>
    </w:pPr>
    <w:rPr>
      <w:b/>
      <w:bCs/>
      <w:color w:val="99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semiHidden/>
    <w:rsid w:val="00C72DAE"/>
    <w:rPr>
      <w:color w:val="0000FF"/>
      <w:u w:val="single"/>
    </w:rPr>
  </w:style>
  <w:style w:type="character" w:styleId="CommentReference">
    <w:name w:val="annotation reference"/>
    <w:uiPriority w:val="99"/>
    <w:semiHidden/>
    <w:rsid w:val="00C72DAE"/>
    <w:rPr>
      <w:sz w:val="16"/>
      <w:szCs w:val="16"/>
    </w:rPr>
  </w:style>
  <w:style w:type="paragraph" w:styleId="CommentText">
    <w:name w:val="annotation text"/>
    <w:basedOn w:val="Normal"/>
    <w:link w:val="CommentTextChar"/>
    <w:uiPriority w:val="99"/>
    <w:semiHidden/>
    <w:rsid w:val="00C72DAE"/>
    <w:rPr>
      <w:sz w:val="20"/>
      <w:szCs w:val="20"/>
    </w:rPr>
  </w:style>
  <w:style w:type="paragraph" w:styleId="BodyTextIndent">
    <w:name w:val="Body Text Indent"/>
    <w:basedOn w:val="Normal"/>
    <w:semiHidden/>
    <w:rsid w:val="00C72DAE"/>
    <w:pPr>
      <w:ind w:firstLine="720"/>
    </w:pPr>
    <w:rPr>
      <w:szCs w:val="20"/>
      <w:lang w:val="en-US"/>
    </w:rPr>
  </w:style>
  <w:style w:type="paragraph" w:styleId="NormalWeb">
    <w:name w:val="Normal (Web)"/>
    <w:basedOn w:val="Normal"/>
    <w:semiHidden/>
    <w:rsid w:val="00C72DAE"/>
    <w:pPr>
      <w:spacing w:before="100" w:beforeAutospacing="1" w:after="100" w:afterAutospacing="1"/>
    </w:pPr>
  </w:style>
  <w:style w:type="paragraph" w:styleId="BodyText">
    <w:name w:val="Body Text"/>
    <w:basedOn w:val="Normal"/>
    <w:semiHidden/>
    <w:rsid w:val="00C72DAE"/>
    <w:pPr>
      <w:autoSpaceDE w:val="0"/>
      <w:autoSpaceDN w:val="0"/>
      <w:adjustRightInd w:val="0"/>
    </w:pPr>
    <w:rPr>
      <w:color w:val="000000"/>
      <w:szCs w:val="18"/>
      <w:lang w:val="en-US"/>
    </w:rPr>
  </w:style>
  <w:style w:type="character" w:styleId="FollowedHyperlink">
    <w:name w:val="FollowedHyperlink"/>
    <w:semiHidden/>
    <w:rsid w:val="00C72DAE"/>
    <w:rPr>
      <w:color w:val="800080"/>
      <w:u w:val="single"/>
    </w:rPr>
  </w:style>
  <w:style w:type="character" w:styleId="Strong">
    <w:name w:val="Strong"/>
    <w:qFormat/>
    <w:rsid w:val="00C72DAE"/>
    <w:rPr>
      <w:b/>
      <w:bCs/>
    </w:rPr>
  </w:style>
  <w:style w:type="paragraph" w:styleId="Footer">
    <w:name w:val="footer"/>
    <w:basedOn w:val="Normal"/>
    <w:link w:val="FooterChar"/>
    <w:uiPriority w:val="99"/>
    <w:rsid w:val="00C72DAE"/>
    <w:pPr>
      <w:tabs>
        <w:tab w:val="center" w:pos="4320"/>
        <w:tab w:val="right" w:pos="8640"/>
      </w:tabs>
    </w:pPr>
  </w:style>
  <w:style w:type="character" w:styleId="PageNumber">
    <w:name w:val="page number"/>
    <w:basedOn w:val="DefaultParagraphFont"/>
    <w:semiHidden/>
    <w:rsid w:val="00C72DAE"/>
  </w:style>
  <w:style w:type="character" w:styleId="LineNumber">
    <w:name w:val="line number"/>
    <w:semiHidden/>
    <w:rsid w:val="00C72DAE"/>
    <w:rPr>
      <w:color w:val="999999"/>
      <w:sz w:val="20"/>
    </w:rPr>
  </w:style>
  <w:style w:type="paragraph" w:styleId="FootnoteText">
    <w:name w:val="footnote text"/>
    <w:basedOn w:val="Normal"/>
    <w:semiHidden/>
    <w:rsid w:val="00C72DAE"/>
    <w:rPr>
      <w:sz w:val="20"/>
      <w:szCs w:val="20"/>
    </w:rPr>
  </w:style>
  <w:style w:type="character" w:styleId="FootnoteReference">
    <w:name w:val="footnote reference"/>
    <w:semiHidden/>
    <w:rsid w:val="00C72DAE"/>
    <w:rPr>
      <w:vertAlign w:val="superscript"/>
    </w:rPr>
  </w:style>
  <w:style w:type="paragraph" w:styleId="BodyText2">
    <w:name w:val="Body Text 2"/>
    <w:basedOn w:val="Normal"/>
    <w:semiHidden/>
    <w:rsid w:val="00C72DAE"/>
    <w:pPr>
      <w:jc w:val="center"/>
    </w:pPr>
    <w:rPr>
      <w:rFonts w:ascii="Arial" w:hAnsi="Arial" w:cs="Arial"/>
      <w:color w:val="999999"/>
      <w:sz w:val="20"/>
    </w:rPr>
  </w:style>
  <w:style w:type="paragraph" w:styleId="BodyText3">
    <w:name w:val="Body Text 3"/>
    <w:basedOn w:val="Normal"/>
    <w:semiHidden/>
    <w:rsid w:val="00C72DAE"/>
    <w:pPr>
      <w:jc w:val="center"/>
    </w:pPr>
  </w:style>
  <w:style w:type="paragraph" w:styleId="Header">
    <w:name w:val="header"/>
    <w:basedOn w:val="Normal"/>
    <w:semiHidden/>
    <w:rsid w:val="00C72DAE"/>
    <w:pPr>
      <w:tabs>
        <w:tab w:val="center" w:pos="4320"/>
        <w:tab w:val="right" w:pos="8640"/>
      </w:tabs>
    </w:pPr>
  </w:style>
  <w:style w:type="paragraph" w:styleId="TOC6">
    <w:name w:val="toc 6"/>
    <w:basedOn w:val="Normal"/>
    <w:next w:val="Normal"/>
    <w:autoRedefine/>
    <w:semiHidden/>
    <w:rsid w:val="00C72DAE"/>
    <w:pPr>
      <w:widowControl w:val="0"/>
      <w:ind w:right="113"/>
    </w:pPr>
    <w:rPr>
      <w:lang w:val="en-US"/>
    </w:rPr>
  </w:style>
  <w:style w:type="character" w:customStyle="1" w:styleId="fieldlabel1">
    <w:name w:val="fieldlabel1"/>
    <w:rsid w:val="00C72DAE"/>
    <w:rPr>
      <w:rFonts w:ascii="Verdana" w:hAnsi="Verdana" w:hint="default"/>
      <w:b/>
      <w:bCs/>
    </w:rPr>
  </w:style>
  <w:style w:type="character" w:styleId="PlaceholderText">
    <w:name w:val="Placeholder Text"/>
    <w:basedOn w:val="DefaultParagraphFont"/>
    <w:uiPriority w:val="99"/>
    <w:semiHidden/>
    <w:rsid w:val="00BE2389"/>
    <w:rPr>
      <w:color w:val="808080"/>
    </w:rPr>
  </w:style>
  <w:style w:type="paragraph" w:styleId="BalloonText">
    <w:name w:val="Balloon Text"/>
    <w:basedOn w:val="Normal"/>
    <w:link w:val="BalloonTextChar"/>
    <w:uiPriority w:val="99"/>
    <w:semiHidden/>
    <w:unhideWhenUsed/>
    <w:rsid w:val="00BE2389"/>
    <w:rPr>
      <w:rFonts w:ascii="Tahoma" w:hAnsi="Tahoma" w:cs="Tahoma"/>
      <w:sz w:val="16"/>
      <w:szCs w:val="16"/>
    </w:rPr>
  </w:style>
  <w:style w:type="character" w:customStyle="1" w:styleId="BalloonTextChar">
    <w:name w:val="Balloon Text Char"/>
    <w:basedOn w:val="DefaultParagraphFont"/>
    <w:link w:val="BalloonText"/>
    <w:uiPriority w:val="99"/>
    <w:semiHidden/>
    <w:rsid w:val="00BE2389"/>
    <w:rPr>
      <w:rFonts w:ascii="Tahoma" w:hAnsi="Tahoma" w:cs="Tahoma"/>
      <w:sz w:val="16"/>
      <w:szCs w:val="16"/>
      <w:lang w:val="en-CA" w:eastAsia="en-US"/>
    </w:rPr>
  </w:style>
  <w:style w:type="paragraph" w:styleId="ListParagraph">
    <w:name w:val="List Paragraph"/>
    <w:basedOn w:val="Normal"/>
    <w:uiPriority w:val="34"/>
    <w:qFormat/>
    <w:rsid w:val="00986CF6"/>
    <w:pPr>
      <w:ind w:left="720"/>
      <w:contextualSpacing/>
    </w:pPr>
  </w:style>
  <w:style w:type="paragraph" w:styleId="Caption">
    <w:name w:val="caption"/>
    <w:basedOn w:val="Normal"/>
    <w:next w:val="Normal"/>
    <w:uiPriority w:val="35"/>
    <w:unhideWhenUsed/>
    <w:qFormat/>
    <w:rsid w:val="006B0606"/>
    <w:pPr>
      <w:spacing w:after="200"/>
    </w:pPr>
    <w:rPr>
      <w:rFonts w:eastAsia="Calibri" w:cs="Calibri"/>
      <w:iCs/>
      <w:color w:val="000000" w:themeColor="text1"/>
      <w:szCs w:val="18"/>
      <w:lang w:val="en"/>
    </w:rPr>
  </w:style>
  <w:style w:type="character" w:customStyle="1" w:styleId="FooterChar">
    <w:name w:val="Footer Char"/>
    <w:basedOn w:val="DefaultParagraphFont"/>
    <w:link w:val="Footer"/>
    <w:uiPriority w:val="99"/>
    <w:rsid w:val="00585018"/>
    <w:rPr>
      <w:sz w:val="24"/>
      <w:szCs w:val="24"/>
      <w:lang w:val="en-CA"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customStyle="1" w:styleId="CommentTextChar">
    <w:name w:val="Comment Text Char"/>
    <w:basedOn w:val="DefaultParagraphFont"/>
    <w:link w:val="CommentText"/>
    <w:uiPriority w:val="99"/>
    <w:semiHidden/>
    <w:rsid w:val="00A41C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69589">
      <w:bodyDiv w:val="1"/>
      <w:marLeft w:val="0"/>
      <w:marRight w:val="0"/>
      <w:marTop w:val="0"/>
      <w:marBottom w:val="0"/>
      <w:divBdr>
        <w:top w:val="none" w:sz="0" w:space="0" w:color="auto"/>
        <w:left w:val="none" w:sz="0" w:space="0" w:color="auto"/>
        <w:bottom w:val="none" w:sz="0" w:space="0" w:color="auto"/>
        <w:right w:val="none" w:sz="0" w:space="0" w:color="auto"/>
      </w:divBdr>
    </w:div>
    <w:div w:id="396633314">
      <w:bodyDiv w:val="1"/>
      <w:marLeft w:val="0"/>
      <w:marRight w:val="0"/>
      <w:marTop w:val="0"/>
      <w:marBottom w:val="0"/>
      <w:divBdr>
        <w:top w:val="none" w:sz="0" w:space="0" w:color="auto"/>
        <w:left w:val="none" w:sz="0" w:space="0" w:color="auto"/>
        <w:bottom w:val="none" w:sz="0" w:space="0" w:color="auto"/>
        <w:right w:val="none" w:sz="0" w:space="0" w:color="auto"/>
      </w:divBdr>
    </w:div>
    <w:div w:id="1070541772">
      <w:bodyDiv w:val="1"/>
      <w:marLeft w:val="0"/>
      <w:marRight w:val="0"/>
      <w:marTop w:val="0"/>
      <w:marBottom w:val="0"/>
      <w:divBdr>
        <w:top w:val="none" w:sz="0" w:space="0" w:color="auto"/>
        <w:left w:val="none" w:sz="0" w:space="0" w:color="auto"/>
        <w:bottom w:val="none" w:sz="0" w:space="0" w:color="auto"/>
        <w:right w:val="none" w:sz="0" w:space="0" w:color="auto"/>
      </w:divBdr>
    </w:div>
    <w:div w:id="1279800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YvjT/JIiYv97DeNe3dNCkd1rvg==">AMUW2mUFg3Bg0e5fFNHazRHj+ny0qCzzZwx+Yz7I+T+851Kw0D4c3VgJ3+nLA/Kdzkuf4RasBRMLFMqC2ru1Ib0WtICyhM0ODtoU6JtRxB9lSFPeOMr9MhE=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Lennon, Sarah</dc:creator>
  <cp:lastModifiedBy>Fabi</cp:lastModifiedBy>
  <cp:revision>3</cp:revision>
  <dcterms:created xsi:type="dcterms:W3CDTF">2021-01-18T05:32:00Z</dcterms:created>
  <dcterms:modified xsi:type="dcterms:W3CDTF">2021-01-18T05:32:00Z</dcterms:modified>
</cp:coreProperties>
</file>