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CDB44" w14:textId="77777777" w:rsidR="00220763" w:rsidRDefault="009C20FB">
      <w:pPr>
        <w:pStyle w:val="Title"/>
      </w:pPr>
      <w:r>
        <w:t>Test Strategy</w:t>
      </w:r>
    </w:p>
    <w:p w14:paraId="00247787" w14:textId="6F81DE0B" w:rsidR="00220763" w:rsidRDefault="009C20FB">
      <w:r>
        <w:rPr>
          <w:b/>
          <w:color w:val="595959"/>
          <w:sz w:val="22"/>
        </w:rPr>
        <w:t>Final Repository Submission</w:t>
      </w:r>
    </w:p>
    <w:p w14:paraId="120A35E3" w14:textId="44A471E6" w:rsidR="00220763" w:rsidRDefault="009C20FB">
      <w:r>
        <w:t>This artefact records delivered test coverage and documented limitations in the supplied application. A requirement not verifiable because the user interface element, API behaviour, or mobile capability is unavailable is classified as Blocked or Partially Covered and linked to the defect register instead of being represented as a failed test implementation.</w:t>
      </w:r>
    </w:p>
    <w:p w14:paraId="2CC1EFA7" w14:textId="77777777" w:rsidR="00220763" w:rsidRDefault="009C20FB">
      <w:pPr>
        <w:pStyle w:val="Heading1"/>
      </w:pPr>
      <w:r>
        <w:t>1. Purpose</w:t>
      </w:r>
    </w:p>
    <w:p w14:paraId="2713A5A1" w14:textId="46D201FC" w:rsidR="00220763" w:rsidRDefault="009C20FB">
      <w:r>
        <w:t>This strategy defines how the Flash-Guard QE team tested the supplied fintech application across Web UI, REST API, SQL database validation, Android mobile automation and cross-layer E2E checks.</w:t>
      </w:r>
    </w:p>
    <w:p w14:paraId="37C5D3E0" w14:textId="77777777" w:rsidR="00220763" w:rsidRDefault="009C20FB">
      <w:pPr>
        <w:pStyle w:val="Heading1"/>
      </w:pPr>
      <w:r>
        <w:t>2. Test Objectives</w:t>
      </w:r>
    </w:p>
    <w:p w14:paraId="3B5E0FAB" w14:textId="77777777" w:rsidR="00220763" w:rsidRDefault="009C20FB">
      <w:pPr>
        <w:pStyle w:val="ListBullet"/>
      </w:pPr>
      <w:r>
        <w:t>Validate high-risk fintech behaviour: authentication, transfer processing, balances, recipient controls, audit evidence and compliance outcomes.</w:t>
      </w:r>
    </w:p>
    <w:p w14:paraId="228BDE0D" w14:textId="77777777" w:rsidR="00220763" w:rsidRDefault="009C20FB">
      <w:pPr>
        <w:pStyle w:val="ListBullet"/>
      </w:pPr>
      <w:r>
        <w:t>Provide repeatable automated coverage where the supplied application exposed testable flows.</w:t>
      </w:r>
    </w:p>
    <w:p w14:paraId="6AD264C6" w14:textId="77777777" w:rsidR="00220763" w:rsidRDefault="009C20FB">
      <w:pPr>
        <w:pStyle w:val="ListBullet"/>
      </w:pPr>
      <w:r>
        <w:t>Record product limitations as defects rather than inflating pass results or inventing unavailable functionality.</w:t>
      </w:r>
    </w:p>
    <w:p w14:paraId="2470E7C8" w14:textId="77777777" w:rsidR="00220763" w:rsidRDefault="009C20FB">
      <w:pPr>
        <w:pStyle w:val="ListBullet"/>
      </w:pPr>
      <w:r>
        <w:t>Maintain traceability between BRD requirements, test artefacts, execution outcomes, evidence and known defects.</w:t>
      </w:r>
    </w:p>
    <w:p w14:paraId="1A78B435" w14:textId="77777777" w:rsidR="00220763" w:rsidRDefault="009C20FB">
      <w:pPr>
        <w:pStyle w:val="Heading1"/>
      </w:pPr>
      <w:r>
        <w:t>3. Scope</w:t>
      </w:r>
    </w:p>
    <w:tbl>
      <w:tblPr>
        <w:tblStyle w:val="TableGrid"/>
        <w:tblW w:w="0" w:type="auto"/>
        <w:jc w:val="center"/>
        <w:tblLook w:val="04A0" w:firstRow="1" w:lastRow="0" w:firstColumn="1" w:lastColumn="0" w:noHBand="0" w:noVBand="1"/>
      </w:tblPr>
      <w:tblGrid>
        <w:gridCol w:w="3934"/>
        <w:gridCol w:w="6650"/>
      </w:tblGrid>
      <w:tr w:rsidR="00220763" w14:paraId="394A4DF0" w14:textId="77777777">
        <w:trPr>
          <w:tblHeader/>
          <w:jc w:val="center"/>
        </w:trPr>
        <w:tc>
          <w:tcPr>
            <w:tcW w:w="5184" w:type="dxa"/>
            <w:tcBorders>
              <w:top w:val="single" w:sz="6" w:space="0" w:color="FFFFFF"/>
              <w:left w:val="single" w:sz="6" w:space="0" w:color="FFFFFF"/>
              <w:bottom w:val="single" w:sz="6" w:space="0" w:color="FFFFFF"/>
              <w:right w:val="single" w:sz="6" w:space="0" w:color="FFFFFF"/>
            </w:tcBorders>
            <w:shd w:val="clear" w:color="auto" w:fill="0E574A"/>
            <w:vAlign w:val="center"/>
          </w:tcPr>
          <w:p w14:paraId="23A612D9" w14:textId="77777777" w:rsidR="00220763" w:rsidRDefault="009C20FB">
            <w:pPr>
              <w:jc w:val="center"/>
            </w:pPr>
            <w:r>
              <w:rPr>
                <w:b/>
                <w:color w:val="FFFFFF"/>
                <w:sz w:val="16"/>
              </w:rPr>
              <w:t>Scope</w:t>
            </w:r>
          </w:p>
        </w:tc>
        <w:tc>
          <w:tcPr>
            <w:tcW w:w="5184" w:type="dxa"/>
            <w:tcBorders>
              <w:top w:val="single" w:sz="6" w:space="0" w:color="FFFFFF"/>
              <w:left w:val="single" w:sz="6" w:space="0" w:color="FFFFFF"/>
              <w:bottom w:val="single" w:sz="6" w:space="0" w:color="FFFFFF"/>
              <w:right w:val="single" w:sz="6" w:space="0" w:color="FFFFFF"/>
            </w:tcBorders>
            <w:shd w:val="clear" w:color="auto" w:fill="0E574A"/>
            <w:vAlign w:val="center"/>
          </w:tcPr>
          <w:p w14:paraId="352DCE26" w14:textId="77777777" w:rsidR="00220763" w:rsidRDefault="009C20FB">
            <w:pPr>
              <w:jc w:val="center"/>
            </w:pPr>
            <w:r>
              <w:rPr>
                <w:b/>
                <w:color w:val="FFFFFF"/>
                <w:sz w:val="16"/>
              </w:rPr>
              <w:t>Description</w:t>
            </w:r>
          </w:p>
        </w:tc>
      </w:tr>
      <w:tr w:rsidR="00220763" w14:paraId="6482A6A5" w14:textId="77777777">
        <w:trPr>
          <w:jc w:val="center"/>
        </w:trPr>
        <w:tc>
          <w:tcPr>
            <w:tcW w:w="1872" w:type="dxa"/>
          </w:tcPr>
          <w:p w14:paraId="729CCAA0" w14:textId="77777777" w:rsidR="00220763" w:rsidRDefault="009C20FB">
            <w:r>
              <w:rPr>
                <w:sz w:val="16"/>
              </w:rPr>
              <w:t>In scope</w:t>
            </w:r>
          </w:p>
        </w:tc>
        <w:tc>
          <w:tcPr>
            <w:tcW w:w="8352" w:type="dxa"/>
          </w:tcPr>
          <w:p w14:paraId="04163F2F" w14:textId="77777777" w:rsidR="00220763" w:rsidRDefault="009C20FB">
            <w:r>
              <w:rPr>
                <w:sz w:val="16"/>
              </w:rPr>
              <w:t>Web UI automation using Playwright-BDD, POMs and Gherkin feature files under tests/ui.</w:t>
            </w:r>
          </w:p>
        </w:tc>
      </w:tr>
      <w:tr w:rsidR="00220763" w14:paraId="7E6CD924" w14:textId="77777777">
        <w:trPr>
          <w:jc w:val="center"/>
        </w:trPr>
        <w:tc>
          <w:tcPr>
            <w:tcW w:w="1872" w:type="dxa"/>
          </w:tcPr>
          <w:p w14:paraId="033FE71B" w14:textId="77777777" w:rsidR="00220763" w:rsidRDefault="009C20FB">
            <w:r>
              <w:rPr>
                <w:sz w:val="16"/>
              </w:rPr>
              <w:t>In scope</w:t>
            </w:r>
          </w:p>
        </w:tc>
        <w:tc>
          <w:tcPr>
            <w:tcW w:w="8352" w:type="dxa"/>
          </w:tcPr>
          <w:p w14:paraId="45919E25" w14:textId="77777777" w:rsidR="00220763" w:rsidRDefault="009C20FB">
            <w:r>
              <w:rPr>
                <w:sz w:val="16"/>
              </w:rPr>
              <w:t>API contract and business-rule checks using Postman collections under tests/api.</w:t>
            </w:r>
          </w:p>
        </w:tc>
      </w:tr>
      <w:tr w:rsidR="00220763" w14:paraId="5A1225B1" w14:textId="77777777">
        <w:trPr>
          <w:jc w:val="center"/>
        </w:trPr>
        <w:tc>
          <w:tcPr>
            <w:tcW w:w="1872" w:type="dxa"/>
          </w:tcPr>
          <w:p w14:paraId="30D339E8" w14:textId="77777777" w:rsidR="00220763" w:rsidRDefault="009C20FB">
            <w:r>
              <w:rPr>
                <w:sz w:val="16"/>
              </w:rPr>
              <w:t>In scope</w:t>
            </w:r>
          </w:p>
        </w:tc>
        <w:tc>
          <w:tcPr>
            <w:tcW w:w="8352" w:type="dxa"/>
          </w:tcPr>
          <w:p w14:paraId="32614EA0" w14:textId="77777777" w:rsidR="00220763" w:rsidRDefault="009C20FB">
            <w:r>
              <w:rPr>
                <w:sz w:val="16"/>
              </w:rPr>
              <w:t>SQL integrity, audit, compliance, balance, recipient and concurrency checks under tests/db.</w:t>
            </w:r>
          </w:p>
        </w:tc>
      </w:tr>
      <w:tr w:rsidR="00220763" w14:paraId="37E829DE" w14:textId="77777777">
        <w:trPr>
          <w:jc w:val="center"/>
        </w:trPr>
        <w:tc>
          <w:tcPr>
            <w:tcW w:w="1872" w:type="dxa"/>
          </w:tcPr>
          <w:p w14:paraId="053CE1C7" w14:textId="77777777" w:rsidR="00220763" w:rsidRDefault="009C20FB">
            <w:r>
              <w:rPr>
                <w:sz w:val="16"/>
              </w:rPr>
              <w:t>In scope</w:t>
            </w:r>
          </w:p>
        </w:tc>
        <w:tc>
          <w:tcPr>
            <w:tcW w:w="8352" w:type="dxa"/>
          </w:tcPr>
          <w:p w14:paraId="0BAE470B" w14:textId="77777777" w:rsidR="00220763" w:rsidRDefault="009C20FB">
            <w:r>
              <w:rPr>
                <w:sz w:val="16"/>
              </w:rPr>
              <w:t>Android mobile test scenarios under tests/mobile/mobile/mobile-tests.</w:t>
            </w:r>
          </w:p>
        </w:tc>
      </w:tr>
      <w:tr w:rsidR="00220763" w14:paraId="7366088F" w14:textId="77777777">
        <w:trPr>
          <w:jc w:val="center"/>
        </w:trPr>
        <w:tc>
          <w:tcPr>
            <w:tcW w:w="1872" w:type="dxa"/>
          </w:tcPr>
          <w:p w14:paraId="609AFE51" w14:textId="77777777" w:rsidR="00220763" w:rsidRDefault="009C20FB">
            <w:r>
              <w:rPr>
                <w:sz w:val="16"/>
              </w:rPr>
              <w:t>In scope</w:t>
            </w:r>
          </w:p>
        </w:tc>
        <w:tc>
          <w:tcPr>
            <w:tcW w:w="8352" w:type="dxa"/>
          </w:tcPr>
          <w:p w14:paraId="351B4D02" w14:textId="77777777" w:rsidR="00220763" w:rsidRDefault="009C20FB">
            <w:r>
              <w:rPr>
                <w:sz w:val="16"/>
              </w:rPr>
              <w:t>Cross-layer scenarios under tests/e2e and their Postman/SQL supporting artefacts.</w:t>
            </w:r>
          </w:p>
        </w:tc>
      </w:tr>
      <w:tr w:rsidR="00220763" w14:paraId="3BD6D30E" w14:textId="77777777">
        <w:trPr>
          <w:jc w:val="center"/>
        </w:trPr>
        <w:tc>
          <w:tcPr>
            <w:tcW w:w="1872" w:type="dxa"/>
          </w:tcPr>
          <w:p w14:paraId="2C63570D" w14:textId="77777777" w:rsidR="00220763" w:rsidRDefault="009C20FB">
            <w:r>
              <w:rPr>
                <w:sz w:val="16"/>
              </w:rPr>
              <w:t>Out of scope</w:t>
            </w:r>
          </w:p>
        </w:tc>
        <w:tc>
          <w:tcPr>
            <w:tcW w:w="8352" w:type="dxa"/>
          </w:tcPr>
          <w:p w14:paraId="7A0F665C" w14:textId="77777777" w:rsidR="00220763" w:rsidRDefault="009C20FB">
            <w:r>
              <w:rPr>
                <w:sz w:val="16"/>
              </w:rPr>
              <w:t>Building or correcting the supplied application; performance/load testing; cloud deployment; penetration testing.</w:t>
            </w:r>
          </w:p>
        </w:tc>
      </w:tr>
    </w:tbl>
    <w:p w14:paraId="3B6B8ED6" w14:textId="77777777" w:rsidR="00220763" w:rsidRDefault="00220763"/>
    <w:p w14:paraId="28537DE9" w14:textId="77777777" w:rsidR="00220763" w:rsidRDefault="009C20FB">
      <w:pPr>
        <w:pStyle w:val="Heading1"/>
      </w:pPr>
      <w:r>
        <w:t>4. Test Approach by Layer</w:t>
      </w:r>
    </w:p>
    <w:tbl>
      <w:tblPr>
        <w:tblStyle w:val="TableGrid"/>
        <w:tblW w:w="0" w:type="auto"/>
        <w:jc w:val="center"/>
        <w:tblLook w:val="04A0" w:firstRow="1" w:lastRow="0" w:firstColumn="1" w:lastColumn="0" w:noHBand="0" w:noVBand="1"/>
      </w:tblPr>
      <w:tblGrid>
        <w:gridCol w:w="2901"/>
        <w:gridCol w:w="3164"/>
        <w:gridCol w:w="4519"/>
      </w:tblGrid>
      <w:tr w:rsidR="00220763" w14:paraId="55FAD343" w14:textId="77777777">
        <w:trPr>
          <w:tblHeader/>
          <w:jc w:val="center"/>
        </w:trPr>
        <w:tc>
          <w:tcPr>
            <w:tcW w:w="3456" w:type="dxa"/>
            <w:tcBorders>
              <w:top w:val="single" w:sz="6" w:space="0" w:color="FFFFFF"/>
              <w:left w:val="single" w:sz="6" w:space="0" w:color="FFFFFF"/>
              <w:bottom w:val="single" w:sz="6" w:space="0" w:color="FFFFFF"/>
              <w:right w:val="single" w:sz="6" w:space="0" w:color="FFFFFF"/>
            </w:tcBorders>
            <w:shd w:val="clear" w:color="auto" w:fill="0E574A"/>
            <w:vAlign w:val="center"/>
          </w:tcPr>
          <w:p w14:paraId="26122924" w14:textId="77777777" w:rsidR="00220763" w:rsidRDefault="009C20FB">
            <w:pPr>
              <w:jc w:val="center"/>
            </w:pPr>
            <w:r>
              <w:rPr>
                <w:b/>
                <w:color w:val="FFFFFF"/>
                <w:sz w:val="16"/>
              </w:rPr>
              <w:t>Layer</w:t>
            </w:r>
          </w:p>
        </w:tc>
        <w:tc>
          <w:tcPr>
            <w:tcW w:w="3456" w:type="dxa"/>
            <w:tcBorders>
              <w:top w:val="single" w:sz="6" w:space="0" w:color="FFFFFF"/>
              <w:left w:val="single" w:sz="6" w:space="0" w:color="FFFFFF"/>
              <w:bottom w:val="single" w:sz="6" w:space="0" w:color="FFFFFF"/>
              <w:right w:val="single" w:sz="6" w:space="0" w:color="FFFFFF"/>
            </w:tcBorders>
            <w:shd w:val="clear" w:color="auto" w:fill="0E574A"/>
            <w:vAlign w:val="center"/>
          </w:tcPr>
          <w:p w14:paraId="21C10739" w14:textId="77777777" w:rsidR="00220763" w:rsidRDefault="009C20FB">
            <w:pPr>
              <w:jc w:val="center"/>
            </w:pPr>
            <w:r>
              <w:rPr>
                <w:b/>
                <w:color w:val="FFFFFF"/>
                <w:sz w:val="16"/>
              </w:rPr>
              <w:t>Approach</w:t>
            </w:r>
          </w:p>
        </w:tc>
        <w:tc>
          <w:tcPr>
            <w:tcW w:w="3456" w:type="dxa"/>
            <w:tcBorders>
              <w:top w:val="single" w:sz="6" w:space="0" w:color="FFFFFF"/>
              <w:left w:val="single" w:sz="6" w:space="0" w:color="FFFFFF"/>
              <w:bottom w:val="single" w:sz="6" w:space="0" w:color="FFFFFF"/>
              <w:right w:val="single" w:sz="6" w:space="0" w:color="FFFFFF"/>
            </w:tcBorders>
            <w:shd w:val="clear" w:color="auto" w:fill="0E574A"/>
            <w:vAlign w:val="center"/>
          </w:tcPr>
          <w:p w14:paraId="053ED194" w14:textId="77777777" w:rsidR="00220763" w:rsidRDefault="009C20FB">
            <w:pPr>
              <w:jc w:val="center"/>
            </w:pPr>
            <w:r>
              <w:rPr>
                <w:b/>
                <w:color w:val="FFFFFF"/>
                <w:sz w:val="16"/>
              </w:rPr>
              <w:t>Outcome handling</w:t>
            </w:r>
          </w:p>
        </w:tc>
      </w:tr>
      <w:tr w:rsidR="00220763" w14:paraId="2DE9FF1D" w14:textId="77777777">
        <w:trPr>
          <w:jc w:val="center"/>
        </w:trPr>
        <w:tc>
          <w:tcPr>
            <w:tcW w:w="1440" w:type="dxa"/>
          </w:tcPr>
          <w:p w14:paraId="12878989" w14:textId="77777777" w:rsidR="00220763" w:rsidRDefault="009C20FB">
            <w:r>
              <w:rPr>
                <w:sz w:val="16"/>
              </w:rPr>
              <w:t>Web UI</w:t>
            </w:r>
          </w:p>
        </w:tc>
        <w:tc>
          <w:tcPr>
            <w:tcW w:w="3600" w:type="dxa"/>
          </w:tcPr>
          <w:p w14:paraId="74B3F83A" w14:textId="77777777" w:rsidR="00220763" w:rsidRDefault="009C20FB">
            <w:r>
              <w:rPr>
                <w:sz w:val="16"/>
              </w:rPr>
              <w:t>Playwright-BDD with Gherkin, Page Object Model and custom page fixture.</w:t>
            </w:r>
          </w:p>
        </w:tc>
        <w:tc>
          <w:tcPr>
            <w:tcW w:w="5184" w:type="dxa"/>
          </w:tcPr>
          <w:p w14:paraId="3746B066" w14:textId="77777777" w:rsidR="00220763" w:rsidRDefault="009C20FB">
            <w:r>
              <w:rPr>
                <w:sz w:val="16"/>
              </w:rPr>
              <w:t>25 feature scenarios present. Testable flows executed; unavailable profile/session behaviours retained as documented defects.</w:t>
            </w:r>
          </w:p>
        </w:tc>
      </w:tr>
      <w:tr w:rsidR="00220763" w14:paraId="3B49C53E" w14:textId="77777777">
        <w:trPr>
          <w:jc w:val="center"/>
        </w:trPr>
        <w:tc>
          <w:tcPr>
            <w:tcW w:w="1440" w:type="dxa"/>
          </w:tcPr>
          <w:p w14:paraId="04ECCF02" w14:textId="77777777" w:rsidR="00220763" w:rsidRDefault="009C20FB">
            <w:r>
              <w:rPr>
                <w:sz w:val="16"/>
              </w:rPr>
              <w:t>API</w:t>
            </w:r>
          </w:p>
        </w:tc>
        <w:tc>
          <w:tcPr>
            <w:tcW w:w="3600" w:type="dxa"/>
          </w:tcPr>
          <w:p w14:paraId="0BCE408B" w14:textId="77777777" w:rsidR="00220763" w:rsidRDefault="009C20FB">
            <w:r>
              <w:rPr>
                <w:sz w:val="16"/>
              </w:rPr>
              <w:t>Postman collections and request-level assertions.</w:t>
            </w:r>
          </w:p>
        </w:tc>
        <w:tc>
          <w:tcPr>
            <w:tcW w:w="5184" w:type="dxa"/>
          </w:tcPr>
          <w:p w14:paraId="028ECC8C" w14:textId="77777777" w:rsidR="00220763" w:rsidRDefault="009C20FB">
            <w:r>
              <w:rPr>
                <w:sz w:val="16"/>
              </w:rPr>
              <w:t>Transaction, authentication/compliance and error/edge-case collections retained. Security and authorisation weaknesses are recorded as defects.</w:t>
            </w:r>
          </w:p>
        </w:tc>
      </w:tr>
      <w:tr w:rsidR="00220763" w14:paraId="3972E040" w14:textId="77777777">
        <w:trPr>
          <w:jc w:val="center"/>
        </w:trPr>
        <w:tc>
          <w:tcPr>
            <w:tcW w:w="1440" w:type="dxa"/>
          </w:tcPr>
          <w:p w14:paraId="18209FB7" w14:textId="77777777" w:rsidR="00220763" w:rsidRDefault="009C20FB">
            <w:r>
              <w:rPr>
                <w:sz w:val="16"/>
              </w:rPr>
              <w:t>Database</w:t>
            </w:r>
          </w:p>
        </w:tc>
        <w:tc>
          <w:tcPr>
            <w:tcW w:w="3600" w:type="dxa"/>
          </w:tcPr>
          <w:p w14:paraId="369BDED6" w14:textId="77777777" w:rsidR="00220763" w:rsidRDefault="009C20FB">
            <w:r>
              <w:rPr>
                <w:sz w:val="16"/>
              </w:rPr>
              <w:t>Self-contained SQL validation scripts.</w:t>
            </w:r>
          </w:p>
        </w:tc>
        <w:tc>
          <w:tcPr>
            <w:tcW w:w="5184" w:type="dxa"/>
          </w:tcPr>
          <w:p w14:paraId="14C089CB" w14:textId="69071AAF" w:rsidR="00220763" w:rsidRDefault="009C20FB">
            <w:r>
              <w:rPr>
                <w:sz w:val="16"/>
              </w:rPr>
              <w:t>1</w:t>
            </w:r>
            <w:r w:rsidR="00152C32">
              <w:rPr>
                <w:sz w:val="16"/>
              </w:rPr>
              <w:t>6</w:t>
            </w:r>
            <w:r>
              <w:rPr>
                <w:sz w:val="16"/>
              </w:rPr>
              <w:t xml:space="preserve"> scripts cover balances, audit, compliance, recipient controls, timestamps, soft delete, concurrency and isolation.</w:t>
            </w:r>
          </w:p>
        </w:tc>
      </w:tr>
      <w:tr w:rsidR="00220763" w14:paraId="5D46F9AD" w14:textId="77777777">
        <w:trPr>
          <w:jc w:val="center"/>
        </w:trPr>
        <w:tc>
          <w:tcPr>
            <w:tcW w:w="1440" w:type="dxa"/>
          </w:tcPr>
          <w:p w14:paraId="0711D73D" w14:textId="77777777" w:rsidR="00220763" w:rsidRDefault="009C20FB">
            <w:r>
              <w:rPr>
                <w:sz w:val="16"/>
              </w:rPr>
              <w:t>Mobile</w:t>
            </w:r>
          </w:p>
        </w:tc>
        <w:tc>
          <w:tcPr>
            <w:tcW w:w="3600" w:type="dxa"/>
          </w:tcPr>
          <w:p w14:paraId="527AE66C" w14:textId="77777777" w:rsidR="00220763" w:rsidRDefault="009C20FB">
            <w:r>
              <w:rPr>
                <w:sz w:val="16"/>
              </w:rPr>
              <w:t>Appium/Playwright-BDD Android project.</w:t>
            </w:r>
          </w:p>
        </w:tc>
        <w:tc>
          <w:tcPr>
            <w:tcW w:w="5184" w:type="dxa"/>
            <w:shd w:val="clear" w:color="auto" w:fill="FFF2CC"/>
          </w:tcPr>
          <w:p w14:paraId="4FE69DF7" w14:textId="77777777" w:rsidR="00220763" w:rsidRDefault="009C20FB">
            <w:r>
              <w:rPr>
                <w:sz w:val="16"/>
              </w:rPr>
              <w:t>25 scenarios across authentication, dashboard, transfers, history, notifications, settings and gestures. Conditional outcomes are clearly labelled where app elements were absent or unstable.</w:t>
            </w:r>
          </w:p>
        </w:tc>
      </w:tr>
      <w:tr w:rsidR="00220763" w14:paraId="3371D0FD" w14:textId="77777777">
        <w:trPr>
          <w:jc w:val="center"/>
        </w:trPr>
        <w:tc>
          <w:tcPr>
            <w:tcW w:w="1440" w:type="dxa"/>
          </w:tcPr>
          <w:p w14:paraId="06E53FBD" w14:textId="77777777" w:rsidR="00220763" w:rsidRDefault="009C20FB">
            <w:r>
              <w:rPr>
                <w:sz w:val="16"/>
              </w:rPr>
              <w:t>E2E</w:t>
            </w:r>
          </w:p>
        </w:tc>
        <w:tc>
          <w:tcPr>
            <w:tcW w:w="3600" w:type="dxa"/>
          </w:tcPr>
          <w:p w14:paraId="23CAD9A1" w14:textId="77777777" w:rsidR="00220763" w:rsidRDefault="009C20FB">
            <w:r>
              <w:rPr>
                <w:sz w:val="16"/>
              </w:rPr>
              <w:t>Web + API + DB + Mobile evidence.</w:t>
            </w:r>
          </w:p>
        </w:tc>
        <w:tc>
          <w:tcPr>
            <w:tcW w:w="5184" w:type="dxa"/>
          </w:tcPr>
          <w:p w14:paraId="380BB028" w14:textId="77777777" w:rsidR="00220763" w:rsidRDefault="009C20FB">
            <w:r>
              <w:rPr>
                <w:sz w:val="16"/>
              </w:rPr>
              <w:t>Complete transfer lifecycle, failed compliance and concurrent transfer scenarios; unsupported or inconsistent application outcomes are reported rather than masked.</w:t>
            </w:r>
          </w:p>
        </w:tc>
      </w:tr>
    </w:tbl>
    <w:p w14:paraId="306B4750" w14:textId="77777777" w:rsidR="00220763" w:rsidRDefault="00220763"/>
    <w:p w14:paraId="1E9B93E4" w14:textId="77777777" w:rsidR="00220763" w:rsidRDefault="009C20FB">
      <w:pPr>
        <w:pStyle w:val="Heading1"/>
      </w:pPr>
      <w:r>
        <w:lastRenderedPageBreak/>
        <w:t>5. Entry and Exit Criteria</w:t>
      </w:r>
    </w:p>
    <w:tbl>
      <w:tblPr>
        <w:tblStyle w:val="TableGrid"/>
        <w:tblW w:w="0" w:type="auto"/>
        <w:jc w:val="center"/>
        <w:tblLook w:val="04A0" w:firstRow="1" w:lastRow="0" w:firstColumn="1" w:lastColumn="0" w:noHBand="0" w:noVBand="1"/>
      </w:tblPr>
      <w:tblGrid>
        <w:gridCol w:w="5184"/>
        <w:gridCol w:w="5184"/>
      </w:tblGrid>
      <w:tr w:rsidR="00220763" w14:paraId="625A4731" w14:textId="77777777">
        <w:trPr>
          <w:tblHeader/>
          <w:jc w:val="center"/>
        </w:trPr>
        <w:tc>
          <w:tcPr>
            <w:tcW w:w="5184" w:type="dxa"/>
            <w:tcBorders>
              <w:top w:val="single" w:sz="6" w:space="0" w:color="FFFFFF"/>
              <w:left w:val="single" w:sz="6" w:space="0" w:color="FFFFFF"/>
              <w:bottom w:val="single" w:sz="6" w:space="0" w:color="FFFFFF"/>
              <w:right w:val="single" w:sz="6" w:space="0" w:color="FFFFFF"/>
            </w:tcBorders>
            <w:shd w:val="clear" w:color="auto" w:fill="0E574A"/>
            <w:vAlign w:val="center"/>
          </w:tcPr>
          <w:p w14:paraId="518564C6" w14:textId="77777777" w:rsidR="00220763" w:rsidRDefault="009C20FB">
            <w:pPr>
              <w:jc w:val="center"/>
            </w:pPr>
            <w:r>
              <w:rPr>
                <w:b/>
                <w:color w:val="FFFFFF"/>
                <w:sz w:val="16"/>
              </w:rPr>
              <w:t>Entry criteria</w:t>
            </w:r>
          </w:p>
        </w:tc>
        <w:tc>
          <w:tcPr>
            <w:tcW w:w="5184" w:type="dxa"/>
            <w:tcBorders>
              <w:top w:val="single" w:sz="6" w:space="0" w:color="FFFFFF"/>
              <w:left w:val="single" w:sz="6" w:space="0" w:color="FFFFFF"/>
              <w:bottom w:val="single" w:sz="6" w:space="0" w:color="FFFFFF"/>
              <w:right w:val="single" w:sz="6" w:space="0" w:color="FFFFFF"/>
            </w:tcBorders>
            <w:shd w:val="clear" w:color="auto" w:fill="0E574A"/>
            <w:vAlign w:val="center"/>
          </w:tcPr>
          <w:p w14:paraId="0577DCB2" w14:textId="77777777" w:rsidR="00220763" w:rsidRDefault="009C20FB">
            <w:pPr>
              <w:jc w:val="center"/>
            </w:pPr>
            <w:r>
              <w:rPr>
                <w:b/>
                <w:color w:val="FFFFFF"/>
                <w:sz w:val="16"/>
              </w:rPr>
              <w:t>Exit criteria</w:t>
            </w:r>
          </w:p>
        </w:tc>
      </w:tr>
      <w:tr w:rsidR="00220763" w14:paraId="656C2AEB" w14:textId="77777777">
        <w:trPr>
          <w:jc w:val="center"/>
        </w:trPr>
        <w:tc>
          <w:tcPr>
            <w:tcW w:w="5184" w:type="dxa"/>
          </w:tcPr>
          <w:p w14:paraId="3C6A1B49" w14:textId="77777777" w:rsidR="00220763" w:rsidRDefault="009C20FB">
            <w:r>
              <w:rPr>
                <w:sz w:val="16"/>
              </w:rPr>
              <w:t>Application/API/database or Android emulator available; agreed test data present; required credentials available; known environment limitations recorded.</w:t>
            </w:r>
          </w:p>
        </w:tc>
        <w:tc>
          <w:tcPr>
            <w:tcW w:w="5184" w:type="dxa"/>
          </w:tcPr>
          <w:p w14:paraId="4DA59C5B" w14:textId="77777777" w:rsidR="00220763" w:rsidRDefault="009C20FB">
            <w:r>
              <w:rPr>
                <w:sz w:val="16"/>
              </w:rPr>
              <w:t>Executed evidence captured where possible; pass/fail/blocked status recorded; defects logged for functional gaps; artefacts stored in docs, reports or test folders.</w:t>
            </w:r>
          </w:p>
        </w:tc>
      </w:tr>
      <w:tr w:rsidR="00220763" w14:paraId="27DC2D92" w14:textId="77777777">
        <w:trPr>
          <w:jc w:val="center"/>
        </w:trPr>
        <w:tc>
          <w:tcPr>
            <w:tcW w:w="5184" w:type="dxa"/>
          </w:tcPr>
          <w:p w14:paraId="01B76DBD" w14:textId="77777777" w:rsidR="00220763" w:rsidRDefault="009C20FB">
            <w:r>
              <w:rPr>
                <w:sz w:val="16"/>
              </w:rPr>
              <w:t>For mobile: accessibility identifiers or fallback selectors available; emulator connected.</w:t>
            </w:r>
          </w:p>
        </w:tc>
        <w:tc>
          <w:tcPr>
            <w:tcW w:w="5184" w:type="dxa"/>
          </w:tcPr>
          <w:p w14:paraId="74F9A281" w14:textId="77777777" w:rsidR="00220763" w:rsidRDefault="009C20FB">
            <w:r>
              <w:rPr>
                <w:sz w:val="16"/>
              </w:rPr>
              <w:t>A blocked result is acceptable only when it names the missing/non-functional capability and references the defect register or mobile evidence.</w:t>
            </w:r>
          </w:p>
        </w:tc>
      </w:tr>
    </w:tbl>
    <w:p w14:paraId="5C855DA5" w14:textId="77777777" w:rsidR="00220763" w:rsidRDefault="00220763"/>
    <w:p w14:paraId="036668C6" w14:textId="081FE548" w:rsidR="00220763" w:rsidRDefault="007F36AD">
      <w:pPr>
        <w:pStyle w:val="Heading1"/>
      </w:pPr>
      <w:r>
        <w:t>6</w:t>
      </w:r>
      <w:r w:rsidR="009C20FB">
        <w:t>. Tooling and Artefacts</w:t>
      </w:r>
    </w:p>
    <w:tbl>
      <w:tblPr>
        <w:tblStyle w:val="TableGrid"/>
        <w:tblW w:w="0" w:type="auto"/>
        <w:jc w:val="center"/>
        <w:tblLook w:val="04A0" w:firstRow="1" w:lastRow="0" w:firstColumn="1" w:lastColumn="0" w:noHBand="0" w:noVBand="1"/>
      </w:tblPr>
      <w:tblGrid>
        <w:gridCol w:w="4285"/>
        <w:gridCol w:w="6299"/>
      </w:tblGrid>
      <w:tr w:rsidR="00220763" w14:paraId="48336BF3" w14:textId="77777777">
        <w:trPr>
          <w:tblHeader/>
          <w:jc w:val="center"/>
        </w:trPr>
        <w:tc>
          <w:tcPr>
            <w:tcW w:w="5184" w:type="dxa"/>
            <w:tcBorders>
              <w:top w:val="single" w:sz="6" w:space="0" w:color="FFFFFF"/>
              <w:left w:val="single" w:sz="6" w:space="0" w:color="FFFFFF"/>
              <w:bottom w:val="single" w:sz="6" w:space="0" w:color="FFFFFF"/>
              <w:right w:val="single" w:sz="6" w:space="0" w:color="FFFFFF"/>
            </w:tcBorders>
            <w:shd w:val="clear" w:color="auto" w:fill="0E574A"/>
            <w:vAlign w:val="center"/>
          </w:tcPr>
          <w:p w14:paraId="0ACE21A4" w14:textId="77777777" w:rsidR="00220763" w:rsidRDefault="009C20FB">
            <w:pPr>
              <w:jc w:val="center"/>
            </w:pPr>
            <w:r>
              <w:rPr>
                <w:b/>
                <w:color w:val="FFFFFF"/>
                <w:sz w:val="16"/>
              </w:rPr>
              <w:t>Area</w:t>
            </w:r>
          </w:p>
        </w:tc>
        <w:tc>
          <w:tcPr>
            <w:tcW w:w="5184" w:type="dxa"/>
            <w:tcBorders>
              <w:top w:val="single" w:sz="6" w:space="0" w:color="FFFFFF"/>
              <w:left w:val="single" w:sz="6" w:space="0" w:color="FFFFFF"/>
              <w:bottom w:val="single" w:sz="6" w:space="0" w:color="FFFFFF"/>
              <w:right w:val="single" w:sz="6" w:space="0" w:color="FFFFFF"/>
            </w:tcBorders>
            <w:shd w:val="clear" w:color="auto" w:fill="0E574A"/>
            <w:vAlign w:val="center"/>
          </w:tcPr>
          <w:p w14:paraId="20ED3C6A" w14:textId="77777777" w:rsidR="00220763" w:rsidRDefault="009C20FB">
            <w:pPr>
              <w:jc w:val="center"/>
            </w:pPr>
            <w:r>
              <w:rPr>
                <w:b/>
                <w:color w:val="FFFFFF"/>
                <w:sz w:val="16"/>
              </w:rPr>
              <w:t>Delivered artefacts</w:t>
            </w:r>
          </w:p>
        </w:tc>
      </w:tr>
      <w:tr w:rsidR="00220763" w14:paraId="2D14B0A4" w14:textId="77777777">
        <w:trPr>
          <w:jc w:val="center"/>
        </w:trPr>
        <w:tc>
          <w:tcPr>
            <w:tcW w:w="2592" w:type="dxa"/>
          </w:tcPr>
          <w:p w14:paraId="77C12104" w14:textId="77777777" w:rsidR="00220763" w:rsidRDefault="009C20FB">
            <w:r>
              <w:rPr>
                <w:sz w:val="16"/>
              </w:rPr>
              <w:t>Repository structure</w:t>
            </w:r>
          </w:p>
        </w:tc>
        <w:tc>
          <w:tcPr>
            <w:tcW w:w="7776" w:type="dxa"/>
          </w:tcPr>
          <w:p w14:paraId="471C8B31" w14:textId="77777777" w:rsidR="00220763" w:rsidRDefault="009C20FB">
            <w:r>
              <w:rPr>
                <w:sz w:val="16"/>
              </w:rPr>
              <w:t>tests/ui, tests/api, tests/db, tests/mobile, tests/e2e, src/pages, src/fixtures, docs and reports.</w:t>
            </w:r>
          </w:p>
        </w:tc>
      </w:tr>
      <w:tr w:rsidR="00220763" w14:paraId="28C0CECE" w14:textId="77777777">
        <w:trPr>
          <w:jc w:val="center"/>
        </w:trPr>
        <w:tc>
          <w:tcPr>
            <w:tcW w:w="2592" w:type="dxa"/>
          </w:tcPr>
          <w:p w14:paraId="0DC95541" w14:textId="77777777" w:rsidR="00220763" w:rsidRDefault="009C20FB">
            <w:r>
              <w:rPr>
                <w:sz w:val="16"/>
              </w:rPr>
              <w:t>Evidence</w:t>
            </w:r>
          </w:p>
        </w:tc>
        <w:tc>
          <w:tcPr>
            <w:tcW w:w="7776" w:type="dxa"/>
          </w:tcPr>
          <w:p w14:paraId="7FD851A3" w14:textId="77777777" w:rsidR="00220763" w:rsidRDefault="009C20FB">
            <w:r>
              <w:rPr>
                <w:sz w:val="16"/>
              </w:rPr>
              <w:t>Flash-Guard-Test-Cases.docx, Defect Report Register.docx, mobile evidence images, Playwright/mobile reports where generated.</w:t>
            </w:r>
          </w:p>
        </w:tc>
      </w:tr>
      <w:tr w:rsidR="00220763" w14:paraId="57918843" w14:textId="77777777">
        <w:trPr>
          <w:jc w:val="center"/>
        </w:trPr>
        <w:tc>
          <w:tcPr>
            <w:tcW w:w="2592" w:type="dxa"/>
          </w:tcPr>
          <w:p w14:paraId="07CA8098" w14:textId="77777777" w:rsidR="00220763" w:rsidRDefault="009C20FB">
            <w:r>
              <w:rPr>
                <w:sz w:val="16"/>
              </w:rPr>
              <w:t>CI and containerisation</w:t>
            </w:r>
          </w:p>
        </w:tc>
        <w:tc>
          <w:tcPr>
            <w:tcW w:w="7776" w:type="dxa"/>
          </w:tcPr>
          <w:p w14:paraId="7EB3ECD4" w14:textId="77777777" w:rsidR="00220763" w:rsidRDefault="009C20FB">
            <w:r>
              <w:rPr>
                <w:sz w:val="16"/>
              </w:rPr>
              <w:t>GitHub Actions CI and Docker workflow YAML files; docker-compose.yml prepared for the supplied application stack.</w:t>
            </w:r>
          </w:p>
        </w:tc>
      </w:tr>
      <w:tr w:rsidR="00220763" w14:paraId="7E6C5EA4" w14:textId="77777777">
        <w:trPr>
          <w:jc w:val="center"/>
        </w:trPr>
        <w:tc>
          <w:tcPr>
            <w:tcW w:w="2592" w:type="dxa"/>
          </w:tcPr>
          <w:p w14:paraId="052546F0" w14:textId="77777777" w:rsidR="00220763" w:rsidRDefault="009C20FB">
            <w:r>
              <w:rPr>
                <w:sz w:val="16"/>
              </w:rPr>
              <w:t>Traceability</w:t>
            </w:r>
          </w:p>
        </w:tc>
        <w:tc>
          <w:tcPr>
            <w:tcW w:w="7776" w:type="dxa"/>
          </w:tcPr>
          <w:p w14:paraId="021F1B71" w14:textId="6D917BA4" w:rsidR="00220763" w:rsidRDefault="009C20FB">
            <w:r>
              <w:rPr>
                <w:sz w:val="16"/>
              </w:rPr>
              <w:t>Requirements-Traceability-Matrix</w:t>
            </w:r>
            <w:r>
              <w:rPr>
                <w:sz w:val="16"/>
              </w:rPr>
              <w:t>, this Test Strategy and Coverage Analysis report.</w:t>
            </w:r>
          </w:p>
        </w:tc>
      </w:tr>
    </w:tbl>
    <w:p w14:paraId="1E77BA4F" w14:textId="77777777" w:rsidR="00220763" w:rsidRDefault="00220763"/>
    <w:p w14:paraId="7233357F" w14:textId="39C43297" w:rsidR="00220763" w:rsidRDefault="007F36AD">
      <w:pPr>
        <w:pStyle w:val="Heading1"/>
      </w:pPr>
      <w:r>
        <w:t>7</w:t>
      </w:r>
      <w:r w:rsidR="009C20FB">
        <w:t>. Risks and Mitigations</w:t>
      </w:r>
    </w:p>
    <w:tbl>
      <w:tblPr>
        <w:tblStyle w:val="TableGrid"/>
        <w:tblW w:w="0" w:type="auto"/>
        <w:jc w:val="center"/>
        <w:tblLook w:val="04A0" w:firstRow="1" w:lastRow="0" w:firstColumn="1" w:lastColumn="0" w:noHBand="0" w:noVBand="1"/>
      </w:tblPr>
      <w:tblGrid>
        <w:gridCol w:w="4633"/>
        <w:gridCol w:w="5951"/>
      </w:tblGrid>
      <w:tr w:rsidR="00220763" w14:paraId="2F08D504" w14:textId="77777777">
        <w:trPr>
          <w:tblHeader/>
          <w:jc w:val="center"/>
        </w:trPr>
        <w:tc>
          <w:tcPr>
            <w:tcW w:w="5184" w:type="dxa"/>
            <w:tcBorders>
              <w:top w:val="single" w:sz="6" w:space="0" w:color="FFFFFF"/>
              <w:left w:val="single" w:sz="6" w:space="0" w:color="FFFFFF"/>
              <w:bottom w:val="single" w:sz="6" w:space="0" w:color="FFFFFF"/>
              <w:right w:val="single" w:sz="6" w:space="0" w:color="FFFFFF"/>
            </w:tcBorders>
            <w:shd w:val="clear" w:color="auto" w:fill="0E574A"/>
            <w:vAlign w:val="center"/>
          </w:tcPr>
          <w:p w14:paraId="3198504F" w14:textId="77777777" w:rsidR="00220763" w:rsidRDefault="009C20FB">
            <w:pPr>
              <w:jc w:val="center"/>
            </w:pPr>
            <w:r>
              <w:rPr>
                <w:b/>
                <w:color w:val="FFFFFF"/>
                <w:sz w:val="16"/>
              </w:rPr>
              <w:t>Risk</w:t>
            </w:r>
          </w:p>
        </w:tc>
        <w:tc>
          <w:tcPr>
            <w:tcW w:w="5184" w:type="dxa"/>
            <w:tcBorders>
              <w:top w:val="single" w:sz="6" w:space="0" w:color="FFFFFF"/>
              <w:left w:val="single" w:sz="6" w:space="0" w:color="FFFFFF"/>
              <w:bottom w:val="single" w:sz="6" w:space="0" w:color="FFFFFF"/>
              <w:right w:val="single" w:sz="6" w:space="0" w:color="FFFFFF"/>
            </w:tcBorders>
            <w:shd w:val="clear" w:color="auto" w:fill="0E574A"/>
            <w:vAlign w:val="center"/>
          </w:tcPr>
          <w:p w14:paraId="3B4DB440" w14:textId="77777777" w:rsidR="00220763" w:rsidRDefault="009C20FB">
            <w:pPr>
              <w:jc w:val="center"/>
            </w:pPr>
            <w:r>
              <w:rPr>
                <w:b/>
                <w:color w:val="FFFFFF"/>
                <w:sz w:val="16"/>
              </w:rPr>
              <w:t>Mitigation</w:t>
            </w:r>
          </w:p>
        </w:tc>
      </w:tr>
      <w:tr w:rsidR="00220763" w14:paraId="5A7C0CD9" w14:textId="77777777">
        <w:trPr>
          <w:jc w:val="center"/>
        </w:trPr>
        <w:tc>
          <w:tcPr>
            <w:tcW w:w="3600" w:type="dxa"/>
          </w:tcPr>
          <w:p w14:paraId="00E0C529" w14:textId="77777777" w:rsidR="00220763" w:rsidRDefault="009C20FB">
            <w:r>
              <w:rPr>
                <w:sz w:val="16"/>
              </w:rPr>
              <w:t>Application functionality missing or not wired</w:t>
            </w:r>
          </w:p>
        </w:tc>
        <w:tc>
          <w:tcPr>
            <w:tcW w:w="6768" w:type="dxa"/>
            <w:shd w:val="clear" w:color="auto" w:fill="FCE4D6"/>
          </w:tcPr>
          <w:p w14:paraId="49F86D0B" w14:textId="3E3E6F52" w:rsidR="00220763" w:rsidRDefault="009C20FB">
            <w:r>
              <w:rPr>
                <w:sz w:val="16"/>
              </w:rPr>
              <w:t xml:space="preserve">Log a defect, mark the requirement </w:t>
            </w:r>
            <w:r>
              <w:rPr>
                <w:sz w:val="16"/>
              </w:rPr>
              <w:t>, retain evidence, and prevent false pass claims.</w:t>
            </w:r>
          </w:p>
        </w:tc>
      </w:tr>
      <w:tr w:rsidR="00220763" w14:paraId="66C6109B" w14:textId="77777777">
        <w:trPr>
          <w:jc w:val="center"/>
        </w:trPr>
        <w:tc>
          <w:tcPr>
            <w:tcW w:w="3600" w:type="dxa"/>
          </w:tcPr>
          <w:p w14:paraId="6405BB91" w14:textId="77777777" w:rsidR="00220763" w:rsidRDefault="009C20FB">
            <w:r>
              <w:rPr>
                <w:sz w:val="16"/>
              </w:rPr>
              <w:t>Mobile selectors/accessibility identifiers unstable</w:t>
            </w:r>
          </w:p>
        </w:tc>
        <w:tc>
          <w:tcPr>
            <w:tcW w:w="6768" w:type="dxa"/>
          </w:tcPr>
          <w:p w14:paraId="4AF9A89B" w14:textId="77777777" w:rsidR="00220763" w:rsidRDefault="009C20FB">
            <w:r>
              <w:rPr>
                <w:sz w:val="16"/>
              </w:rPr>
              <w:t>Use stable identifiers where exposed; record conditional runs and retain known-issue screenshots.</w:t>
            </w:r>
          </w:p>
        </w:tc>
      </w:tr>
      <w:tr w:rsidR="00220763" w14:paraId="1D73391E" w14:textId="77777777">
        <w:trPr>
          <w:jc w:val="center"/>
        </w:trPr>
        <w:tc>
          <w:tcPr>
            <w:tcW w:w="3600" w:type="dxa"/>
          </w:tcPr>
          <w:p w14:paraId="57780364" w14:textId="77777777" w:rsidR="00220763" w:rsidRDefault="009C20FB">
            <w:r>
              <w:rPr>
                <w:sz w:val="16"/>
              </w:rPr>
              <w:t>Environment/database state inconsistent</w:t>
            </w:r>
          </w:p>
        </w:tc>
        <w:tc>
          <w:tcPr>
            <w:tcW w:w="6768" w:type="dxa"/>
          </w:tcPr>
          <w:p w14:paraId="3227018C" w14:textId="77777777" w:rsidR="00220763" w:rsidRDefault="009C20FB">
            <w:r>
              <w:rPr>
                <w:sz w:val="16"/>
              </w:rPr>
              <w:t>Use SQL verification and reset/seed scripts where available; record environment assumptions in execution evidence.</w:t>
            </w:r>
          </w:p>
        </w:tc>
      </w:tr>
      <w:tr w:rsidR="00220763" w14:paraId="094D102C" w14:textId="77777777">
        <w:trPr>
          <w:jc w:val="center"/>
        </w:trPr>
        <w:tc>
          <w:tcPr>
            <w:tcW w:w="3600" w:type="dxa"/>
          </w:tcPr>
          <w:p w14:paraId="686304E5" w14:textId="77777777" w:rsidR="00220763" w:rsidRDefault="009C20FB">
            <w:r>
              <w:rPr>
                <w:sz w:val="16"/>
              </w:rPr>
              <w:t>Automation configuration differs by layer</w:t>
            </w:r>
          </w:p>
        </w:tc>
        <w:tc>
          <w:tcPr>
            <w:tcW w:w="6768" w:type="dxa"/>
          </w:tcPr>
          <w:p w14:paraId="39BFAC98" w14:textId="77777777" w:rsidR="00220763" w:rsidRDefault="009C20FB">
            <w:r>
              <w:rPr>
                <w:sz w:val="16"/>
              </w:rPr>
              <w:t>Keep layer-specific scripts/configurations and use CI/Docker as repeatable validation aids.</w:t>
            </w:r>
          </w:p>
        </w:tc>
      </w:tr>
    </w:tbl>
    <w:p w14:paraId="6C72305D" w14:textId="77777777" w:rsidR="00220763" w:rsidRDefault="00220763"/>
    <w:p w14:paraId="3379A218" w14:textId="36E2C575" w:rsidR="00220763" w:rsidRDefault="00220763"/>
    <w:sectPr w:rsidR="00220763"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3784C" w14:textId="77777777" w:rsidR="009C20FB" w:rsidRDefault="009C20FB">
      <w:pPr>
        <w:spacing w:after="0" w:line="240" w:lineRule="auto"/>
      </w:pPr>
      <w:r>
        <w:separator/>
      </w:r>
    </w:p>
  </w:endnote>
  <w:endnote w:type="continuationSeparator" w:id="0">
    <w:p w14:paraId="0A25BF44" w14:textId="77777777" w:rsidR="009C20FB" w:rsidRDefault="009C2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9221C" w14:textId="780B4DCF" w:rsidR="00220763" w:rsidRDefault="002207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3AD0C" w14:textId="77777777" w:rsidR="009C20FB" w:rsidRDefault="009C20FB">
      <w:pPr>
        <w:spacing w:after="0" w:line="240" w:lineRule="auto"/>
      </w:pPr>
      <w:r>
        <w:separator/>
      </w:r>
    </w:p>
  </w:footnote>
  <w:footnote w:type="continuationSeparator" w:id="0">
    <w:p w14:paraId="2435A698" w14:textId="77777777" w:rsidR="009C20FB" w:rsidRDefault="009C2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4F25" w14:textId="77777777" w:rsidR="00220763" w:rsidRDefault="009C20FB">
    <w:pPr>
      <w:pStyle w:val="Header"/>
    </w:pPr>
    <w:r>
      <w:rPr>
        <w:color w:val="595959"/>
        <w:sz w:val="16"/>
      </w:rPr>
      <w:t>FLASH-GUARD | Quality Engineering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4405116">
    <w:abstractNumId w:val="8"/>
  </w:num>
  <w:num w:numId="2" w16cid:durableId="1274022098">
    <w:abstractNumId w:val="6"/>
  </w:num>
  <w:num w:numId="3" w16cid:durableId="12270037">
    <w:abstractNumId w:val="5"/>
  </w:num>
  <w:num w:numId="4" w16cid:durableId="842863324">
    <w:abstractNumId w:val="4"/>
  </w:num>
  <w:num w:numId="5" w16cid:durableId="602498625">
    <w:abstractNumId w:val="7"/>
  </w:num>
  <w:num w:numId="6" w16cid:durableId="1658343110">
    <w:abstractNumId w:val="3"/>
  </w:num>
  <w:num w:numId="7" w16cid:durableId="1619920214">
    <w:abstractNumId w:val="2"/>
  </w:num>
  <w:num w:numId="8" w16cid:durableId="472991773">
    <w:abstractNumId w:val="1"/>
  </w:num>
  <w:num w:numId="9" w16cid:durableId="114177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C32"/>
    <w:rsid w:val="001D70ED"/>
    <w:rsid w:val="00220763"/>
    <w:rsid w:val="0029639D"/>
    <w:rsid w:val="00326F90"/>
    <w:rsid w:val="007F36AD"/>
    <w:rsid w:val="008D040C"/>
    <w:rsid w:val="009C20FB"/>
    <w:rsid w:val="00AA1D8D"/>
    <w:rsid w:val="00AD5B1B"/>
    <w:rsid w:val="00B47730"/>
    <w:rsid w:val="00C9639D"/>
    <w:rsid w:val="00CB0664"/>
    <w:rsid w:val="00E01020"/>
    <w:rsid w:val="00FB7721"/>
    <w:rsid w:val="00FC5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A8108BE-803E-4271-A135-44DE754D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E574A"/>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A4E7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0E57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Amarah Morgan</cp:lastModifiedBy>
  <cp:revision>9</cp:revision>
  <dcterms:created xsi:type="dcterms:W3CDTF">2013-12-23T23:15:00Z</dcterms:created>
  <dcterms:modified xsi:type="dcterms:W3CDTF">2026-06-23T08:00:00Z</dcterms:modified>
  <cp:category/>
</cp:coreProperties>
</file>