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NetzPilot - Ergebnisbericht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f95bdc174aabb690e727544e760fc336323f5f6"/>
      <w:r>
        <w:t xml:space="preserve">NetzPilot — Ergebnisbericht (Stand 2026-05-30)</w:t>
      </w:r>
      <w:bookmarkEnd w:id="20"/>
    </w:p>
    <w:p>
      <w:pPr>
        <w:pStyle w:val="FirstParagraph"/>
      </w:pPr>
      <w:r>
        <w:rPr>
          <w:i/>
        </w:rPr>
        <w:t xml:space="preserve">Prognose- und §14a-Koordinationssoftware für kleine Stadtwerke. Dieser Bericht ist bewusst</w:t>
      </w:r>
      <w:r>
        <w:rPr>
          <w:i/>
        </w:rPr>
        <w:t xml:space="preserve"> </w:t>
      </w:r>
      <w:r>
        <w:rPr>
          <w:i/>
        </w:rPr>
        <w:t xml:space="preserve">ehrlich gehalten: jede Zahl ist mit ihrem Verifikationsstatus versehen, und die Grenzen sind</w:t>
      </w:r>
      <w:r>
        <w:rPr>
          <w:i/>
        </w:rPr>
        <w:t xml:space="preserve"> </w:t>
      </w:r>
      <w:r>
        <w:rPr>
          <w:i/>
        </w:rPr>
        <w:t xml:space="preserve">genauso prominent wie die Erfolge. Geschrieben für eine Zweitprüfung / einen kritischen Reviewer.</w:t>
      </w:r>
    </w:p>
    <w:p>
      <w:pPr>
        <w:pStyle w:val="Heading2"/>
      </w:pPr>
      <w:bookmarkStart w:id="21" w:name="verifikationskonvention"/>
      <w:r>
        <w:t xml:space="preserve">Verifikationskonvention</w:t>
      </w:r>
      <w:bookmarkEnd w:id="21"/>
    </w:p>
    <w:p>
      <w:pPr>
        <w:pStyle w:val="FirstParagraph"/>
      </w:pPr>
      <w:r>
        <w:t xml:space="preserve">Jede Zahl ist eine von zwei Klassen: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[S] in der Sandbox von Claude selbst nachgerechnet</w:t>
      </w:r>
      <w:r>
        <w:t xml:space="preserve"> </w:t>
      </w:r>
      <w:r>
        <w:t xml:space="preserve">(numpy/pandas/stdlib, auf den echten Dateien) —</w:t>
      </w:r>
      <w:r>
        <w:t xml:space="preserve"> </w:t>
      </w:r>
      <w:r>
        <w:t xml:space="preserve">voll reproduziert.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[H] Host-Lauf (Codex)</w:t>
      </w:r>
      <w:r>
        <w:t xml:space="preserve">, von Claude aus den Ergebnis-/Cache-Dateien gelesen und auf Plausibilität,</w:t>
      </w:r>
      <w:r>
        <w:t xml:space="preserve"> </w:t>
      </w:r>
      <w:r>
        <w:t xml:space="preserve">Leakage-Sicherheit und Provenienz geprüft — aber nicht selbst neu trainiert (Sandbox hat kein</w:t>
      </w:r>
      <w:r>
        <w:t xml:space="preserve"> </w:t>
      </w:r>
      <w:r>
        <w:t xml:space="preserve">lightgbm/pvlib/Internet).</w:t>
      </w:r>
    </w:p>
    <w:p>
      <w:pPr>
        <w:pStyle w:val="FirstParagraph"/>
      </w:pPr>
      <w:r>
        <w:t xml:space="preserve">Nichts in diesem Bericht ist „geschätzt" oder geschönt. Wo ein Ergebnis schwach oder nur ein oberer</w:t>
      </w:r>
      <w:r>
        <w:t xml:space="preserve"> </w:t>
      </w:r>
      <w:r>
        <w:t xml:space="preserve">Rand ist, steht das so da.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zusammenfassung-tldr"/>
      <w:r>
        <w:t xml:space="preserve">1. Zusammenfassung (TL;DR)</w:t>
      </w:r>
      <w:bookmarkEnd w:id="22"/>
    </w:p>
    <w:p>
      <w:pPr>
        <w:pStyle w:val="FirstParagraph"/>
      </w:pPr>
      <w:r>
        <w:t xml:space="preserve">NetzPilot besteht aus einer</w:t>
      </w:r>
      <w:r>
        <w:t xml:space="preserve"> </w:t>
      </w:r>
      <w:r>
        <w:rPr>
          <w:b/>
        </w:rPr>
        <w:t xml:space="preserve">leakage-sicheren Day-ahead-Prognose</w:t>
      </w:r>
      <w:r>
        <w:t xml:space="preserve"> </w:t>
      </w:r>
      <w:r>
        <w:t xml:space="preserve">(Last, Residuallast, Erzeugung) mit</w:t>
      </w:r>
      <w:r>
        <w:t xml:space="preserve"> </w:t>
      </w:r>
      <w:r>
        <w:rPr>
          <w:b/>
        </w:rPr>
        <w:t xml:space="preserve">kalibrierten Unsicherheitsbändern</w:t>
      </w:r>
      <w:r>
        <w:t xml:space="preserve"> </w:t>
      </w:r>
      <w:r>
        <w:t xml:space="preserve">und einem</w:t>
      </w:r>
      <w:r>
        <w:t xml:space="preserve"> </w:t>
      </w:r>
      <w:r>
        <w:rPr>
          <w:b/>
        </w:rPr>
        <w:t xml:space="preserve">§14a-Steuerkreis-Prototyp</w:t>
      </w:r>
      <w:r>
        <w:t xml:space="preserve">.</w:t>
      </w:r>
    </w:p>
    <w:p>
      <w:pPr>
        <w:pStyle w:val="BodyText"/>
      </w:pPr>
      <w:r>
        <w:rPr>
          <w:b/>
        </w:rPr>
        <w:t xml:space="preserve">Belastbar:</w:t>
      </w:r>
      <w:r>
        <w:t xml:space="preserve"> </w:t>
      </w:r>
      <w:r>
        <w:t xml:space="preserve">- Nationale Last (SMARD, 2 Jahre): MAPE</w:t>
      </w:r>
      <w:r>
        <w:t xml:space="preserve"> </w:t>
      </w:r>
      <w:r>
        <w:rPr>
          <w:b/>
        </w:rPr>
        <w:t xml:space="preserve">3,36 %</w:t>
      </w:r>
      <w:r>
        <w:t xml:space="preserve">, Skill</w:t>
      </w:r>
      <w:r>
        <w:t xml:space="preserve"> </w:t>
      </w:r>
      <w:r>
        <w:rPr>
          <w:b/>
        </w:rPr>
        <w:t xml:space="preserve">+55,8 %</w:t>
      </w:r>
      <w:r>
        <w:t xml:space="preserve"> </w:t>
      </w:r>
      <w:r>
        <w:t xml:space="preserve">vs. saisonal-naiv.</w:t>
      </w:r>
      <w:r>
        <w:t xml:space="preserve"> </w:t>
      </w:r>
      <w:r>
        <w:rPr>
          <w:b/>
        </w:rPr>
        <w:t xml:space="preserve">[H]</w:t>
      </w:r>
      <w:r>
        <w:t xml:space="preserve"> </w:t>
      </w:r>
      <w:r>
        <w:t xml:space="preserve">- Erstes echtes deutsches Stadtwerk-Profil (gemessen): Hilden</w:t>
      </w:r>
      <w:r>
        <w:t xml:space="preserve"> </w:t>
      </w:r>
      <w:r>
        <w:rPr>
          <w:b/>
        </w:rPr>
        <w:t xml:space="preserve">Netzumsatz</w:t>
      </w:r>
      <w:r>
        <w:t xml:space="preserve"> </w:t>
      </w:r>
      <w:r>
        <w:t xml:space="preserve">2025, MAPE</w:t>
      </w:r>
      <w:r>
        <w:t xml:space="preserve"> </w:t>
      </w:r>
      <w:r>
        <w:rPr>
          <w:b/>
        </w:rPr>
        <w:t xml:space="preserve">4,36 %</w:t>
      </w:r>
      <w:r>
        <w:t xml:space="preserve">, Skill</w:t>
      </w:r>
      <w:r>
        <w:t xml:space="preserve"> </w:t>
      </w:r>
      <w:r>
        <w:rPr>
          <w:b/>
        </w:rPr>
        <w:t xml:space="preserve">+16,5 %</w:t>
      </w:r>
      <w:r>
        <w:t xml:space="preserve"> </w:t>
      </w:r>
      <w:r>
        <w:t xml:space="preserve">vs. saisonal-naiv. (Die SLP-Summenlast mit 1,76 %/+34 % ist ein synthetisches Profil und</w:t>
      </w:r>
      <w:r>
        <w:t xml:space="preserve"> </w:t>
      </w:r>
      <w:r>
        <w:t xml:space="preserve">zählt NICHT als Prognosegüte-Beleg.)</w:t>
      </w:r>
      <w:r>
        <w:t xml:space="preserve"> </w:t>
      </w:r>
      <w:r>
        <w:rPr>
          <w:b/>
        </w:rPr>
        <w:t xml:space="preserve">[H]</w:t>
      </w:r>
      <w:r>
        <w:t xml:space="preserve"> </w:t>
      </w:r>
      <w:r>
        <w:t xml:space="preserve">- 50 Stadt-Profile: MAPE ~</w:t>
      </w:r>
      <w:r>
        <w:rPr>
          <w:b/>
        </w:rPr>
        <w:t xml:space="preserve">6,7 %</w:t>
      </w:r>
      <w:r>
        <w:t xml:space="preserve">, Skill</w:t>
      </w:r>
      <w:r>
        <w:t xml:space="preserve"> </w:t>
      </w:r>
      <w:r>
        <w:rPr>
          <w:b/>
        </w:rPr>
        <w:t xml:space="preserve">+3,9 %</w:t>
      </w:r>
      <w:r>
        <w:t xml:space="preserve"> </w:t>
      </w:r>
      <w:r>
        <w:t xml:space="preserve">vs. saisonal-naiv (positiv in</w:t>
      </w:r>
      <w:r>
        <w:t xml:space="preserve"> </w:t>
      </w:r>
      <w:r>
        <w:rPr>
          <w:b/>
        </w:rPr>
        <w:t xml:space="preserve">50/50</w:t>
      </w:r>
      <w:r>
        <w:t xml:space="preserve">).</w:t>
      </w:r>
      <w:r>
        <w:t xml:space="preserve"> </w:t>
      </w:r>
      <w:r>
        <w:rPr>
          <w:b/>
        </w:rPr>
        <w:t xml:space="preserve">[S]</w:t>
      </w:r>
      <w:r>
        <w:t xml:space="preserve"> </w:t>
      </w:r>
      <w:r>
        <w:t xml:space="preserve">- Unsicherheitsbänder (CQR) sind</w:t>
      </w:r>
      <w:r>
        <w:t xml:space="preserve"> </w:t>
      </w:r>
      <w:r>
        <w:rPr>
          <w:b/>
        </w:rPr>
        <w:t xml:space="preserve">stadtweit kalibriert</w:t>
      </w:r>
      <w:r>
        <w:t xml:space="preserve">: 80-/90-%-Coverage im Mittel 80,1 / 90,2 %,</w:t>
      </w:r>
      <w:r>
        <w:t xml:space="preserve"> </w:t>
      </w:r>
      <w:r>
        <w:t xml:space="preserve">jede der 50 Städte innerhalb ±5 pp. </w:t>
      </w:r>
      <w:r>
        <w:rPr>
          <w:b/>
        </w:rPr>
        <w:t xml:space="preserve">[S]</w:t>
      </w:r>
      <w:r>
        <w:t xml:space="preserve"> </w:t>
      </w:r>
      <w:r>
        <w:t xml:space="preserve">- §14a-Steuerkreis end-to-end demonstriert (illegale Fahrpläne werden abgelehnt).</w:t>
      </w:r>
      <w:r>
        <w:t xml:space="preserve"> </w:t>
      </w:r>
      <w:r>
        <w:rPr>
          <w:b/>
        </w:rPr>
        <w:t xml:space="preserve">[S]</w:t>
      </w:r>
    </w:p>
    <w:p>
      <w:pPr>
        <w:pStyle w:val="BodyText"/>
      </w:pPr>
      <w:r>
        <w:rPr>
          <w:b/>
        </w:rPr>
        <w:t xml:space="preserve">Ehrlich begrenzt:</w:t>
      </w:r>
      <w:r>
        <w:t xml:space="preserve"> </w:t>
      </w:r>
      <w:r>
        <w:t xml:space="preserve">- Die 50 Stadt-CSVs sind</w:t>
      </w:r>
      <w:r>
        <w:t xml:space="preserve"> </w:t>
      </w:r>
      <w:r>
        <w:rPr>
          <w:b/>
        </w:rPr>
        <w:t xml:space="preserve">modellierte/synthetische Profile, keine gemessenen Stadtwerke-Daten</w:t>
      </w:r>
      <w:r>
        <w:t xml:space="preserve"> </w:t>
      </w:r>
      <w:r>
        <w:t xml:space="preserve">(drei unabhängige Belege, s. §3).</w:t>
      </w:r>
      <w:r>
        <w:t xml:space="preserve"> </w:t>
      </w:r>
      <w:r>
        <w:t xml:space="preserve">- Der Vorsprung gegen saisonal-naiv ist auf Stadt-/Kleinlast</w:t>
      </w:r>
      <w:r>
        <w:t xml:space="preserve"> </w:t>
      </w:r>
      <w:r>
        <w:rPr>
          <w:b/>
        </w:rPr>
        <w:t xml:space="preserve">dünn (~+4 %)</w:t>
      </w:r>
      <w:r>
        <w:t xml:space="preserve"> </w:t>
      </w:r>
      <w:r>
        <w:t xml:space="preserve">— die ehrliche Realität</w:t>
      </w:r>
      <w:r>
        <w:t xml:space="preserve"> </w:t>
      </w:r>
      <w:r>
        <w:t xml:space="preserve">kleiner Lasten.</w:t>
      </w:r>
      <w:r>
        <w:t xml:space="preserve"> </w:t>
      </w:r>
      <w:r>
        <w:t xml:space="preserve">- Der früher berichtete</w:t>
      </w:r>
      <w:r>
        <w:t xml:space="preserve"> </w:t>
      </w:r>
      <w:r>
        <w:rPr>
          <w:b/>
        </w:rPr>
        <w:t xml:space="preserve">„+17,9 % durch Wetter" (T10) war Leakage</w:t>
      </w:r>
      <w:r>
        <w:t xml:space="preserve"> </w:t>
      </w:r>
      <w:r>
        <w:t xml:space="preserve">(bewiesen, s. §6). Leakage-sicher</w:t>
      </w:r>
      <w:r>
        <w:t xml:space="preserve"> </w:t>
      </w:r>
      <w:r>
        <w:t xml:space="preserve">ist der Wetter-Lift</w:t>
      </w:r>
      <w:r>
        <w:t xml:space="preserve"> </w:t>
      </w:r>
      <w:r>
        <w:rPr>
          <w:b/>
        </w:rPr>
        <w:t xml:space="preserve">≈ 0</w:t>
      </w:r>
      <w:r>
        <w:t xml:space="preserve"> </w:t>
      </w:r>
      <w:r>
        <w:t xml:space="preserve">und nur auf wärmepumpen-/temperaturgekoppelter Last leicht positiv.</w:t>
      </w:r>
      <w:r>
        <w:t xml:space="preserve"> </w:t>
      </w:r>
      <w:r>
        <w:t xml:space="preserve">- Noch keine kundeneigenen Pilotdaten, keine realen reBAP-Kosten, kein echtes SMGW.</w:t>
      </w:r>
    </w:p>
    <w:p>
      <w:pPr>
        <w:pStyle w:val="BodyText"/>
      </w:pPr>
      <w:r>
        <w:rPr>
          <w:b/>
        </w:rPr>
        <w:t xml:space="preserve">Kernaussage:</w:t>
      </w:r>
      <w:r>
        <w:t xml:space="preserve"> </w:t>
      </w:r>
      <w:r>
        <w:t xml:space="preserve">Der belastbare Wert ist die</w:t>
      </w:r>
      <w:r>
        <w:t xml:space="preserve"> </w:t>
      </w:r>
      <w:r>
        <w:rPr>
          <w:b/>
        </w:rPr>
        <w:t xml:space="preserve">Prognose-Wedge + kalibrierte Bänder + §14a-Koordination</w:t>
      </w:r>
      <w:r>
        <w:t xml:space="preserve">,</w:t>
      </w:r>
      <w:r>
        <w:t xml:space="preserve"> </w:t>
      </w:r>
      <w:r>
        <w:t xml:space="preserve">nicht ein wetterbasierter Genauigkeits-Moat. Der nächste echte Schritt sind</w:t>
      </w:r>
      <w:r>
        <w:t xml:space="preserve"> </w:t>
      </w:r>
      <w:r>
        <w:rPr>
          <w:b/>
        </w:rPr>
        <w:t xml:space="preserve">kundeneigene Pilotdaten mit</w:t>
      </w:r>
      <w:r>
        <w:rPr>
          <w:b/>
        </w:rPr>
        <w:t xml:space="preserve"> </w:t>
      </w:r>
      <w:r>
        <w:rPr>
          <w:b/>
        </w:rPr>
        <w:t xml:space="preserve">realer reBAP-/Bilanzkreis-Abrechnung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was-netzpilot-ist"/>
      <w:r>
        <w:t xml:space="preserve">2. Was NetzPilot ist</w:t>
      </w:r>
      <w:bookmarkEnd w:id="23"/>
    </w:p>
    <w:p>
      <w:pPr>
        <w:pStyle w:val="FirstParagraph"/>
      </w:pPr>
      <w:r>
        <w:t xml:space="preserve">Eine schlanke Prognose-/Berechnungs-Engine: NetzPilot rechnet Day-ahead-Prognosen + Fahrpläne und gibt</w:t>
      </w:r>
      <w:r>
        <w:t xml:space="preserve"> </w:t>
      </w:r>
      <w:r>
        <w:t xml:space="preserve">diese per REST/JSON an einen</w:t>
      </w:r>
      <w:r>
        <w:t xml:space="preserve"> </w:t>
      </w:r>
      <w:r>
        <w:rPr>
          <w:b/>
        </w:rPr>
        <w:t xml:space="preserve">zertifizierten White-Label-aEMT</w:t>
      </w:r>
      <w:r>
        <w:t xml:space="preserve"> </w:t>
      </w:r>
      <w:r>
        <w:t xml:space="preserve">(z. B. GWAdriga/GreenPocket/PPC) weiter,</w:t>
      </w:r>
      <w:r>
        <w:t xml:space="preserve"> </w:t>
      </w:r>
      <w:r>
        <w:t xml:space="preserve">der die Steuerung über CLS/SMGW/HEMS ausführt. NetzPilot selbst fasst</w:t>
      </w:r>
      <w:r>
        <w:t xml:space="preserve"> </w:t>
      </w:r>
      <w:r>
        <w:rPr>
          <w:b/>
        </w:rPr>
        <w:t xml:space="preserve">kein</w:t>
      </w:r>
      <w:r>
        <w:t xml:space="preserve"> </w:t>
      </w:r>
      <w:r>
        <w:t xml:space="preserve">SMGW an — das ist</w:t>
      </w:r>
      <w:r>
        <w:t xml:space="preserve"> </w:t>
      </w:r>
      <w:r>
        <w:t xml:space="preserve">regulatorisch und sicherheitstechnisch die richtige Trennung.</w:t>
      </w:r>
    </w:p>
    <w:p>
      <w:pPr>
        <w:pStyle w:val="BodyText"/>
      </w:pPr>
      <w:r>
        <w:t xml:space="preserve">Strategie:</w:t>
      </w:r>
      <w:r>
        <w:t xml:space="preserve"> </w:t>
      </w:r>
      <w:r>
        <w:rPr>
          <w:b/>
        </w:rPr>
        <w:t xml:space="preserve">„Land mit der Prognose-Wedge, expandiere in §14a-/DER-Koordination."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datenbasis-provenienz-ehrlich"/>
      <w:r>
        <w:t xml:space="preserve">3. Datenbasis &amp; Provenienz (ehrlich)</w:t>
      </w:r>
      <w:bookmarkEnd w:id="24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Datensatz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Verwendung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Provenienz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SMARD Netzlast + PV/Wind, 2 J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echt</w:t>
            </w:r>
            <w:r>
              <w:t xml:space="preserve"> </w:t>
            </w:r>
            <w:r>
              <w:t xml:space="preserve">(ÜNB)</w:t>
            </w:r>
          </w:p>
        </w:tc>
        <w:tc>
          <w:p>
            <w:pPr>
              <w:pStyle w:val="Compact"/>
              <w:jc w:val="left"/>
            </w:pPr>
            <w:r>
              <w:t xml:space="preserve">nationale Last/Residuallast/Erzeugung</w:t>
            </w:r>
          </w:p>
        </w:tc>
        <w:tc>
          <w:p>
            <w:pPr>
              <w:pStyle w:val="Compact"/>
              <w:jc w:val="left"/>
            </w:pPr>
            <w:r>
              <w:t xml:space="preserve">öffentlich, real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Stadtwerke Hilden 2025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echt</w:t>
            </w:r>
            <w:r>
              <w:t xml:space="preserve"> </w:t>
            </w:r>
            <w:r>
              <w:t xml:space="preserve">(öffentliches Stadtwerk)</w:t>
            </w:r>
          </w:p>
        </w:tc>
        <w:tc>
          <w:p>
            <w:pPr>
              <w:pStyle w:val="Compact"/>
              <w:jc w:val="left"/>
            </w:pPr>
            <w:r>
              <w:t xml:space="preserve">erstes echtes deutsches Lastgang-Ergebnis (SLP/Netzumsatz/DBA)</w:t>
            </w:r>
          </w:p>
        </w:tc>
        <w:tc>
          <w:p>
            <w:pPr>
              <w:pStyle w:val="Compact"/>
              <w:jc w:val="left"/>
            </w:pPr>
            <w:r>
              <w:t xml:space="preserve">öffentlich, §12/§23c-Veröffentlichungspflicht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EAM Netz 2024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echt</w:t>
            </w:r>
            <w:r>
              <w:t xml:space="preserve"> </w:t>
            </w:r>
            <w:r>
              <w:t xml:space="preserve">(öffentlich)</w:t>
            </w:r>
          </w:p>
        </w:tc>
        <w:tc>
          <w:p>
            <w:pPr>
              <w:pStyle w:val="Compact"/>
              <w:jc w:val="left"/>
            </w:pPr>
            <w:r>
              <w:t xml:space="preserve">Differenzbilanzierung BG1/BG2/BG3 als Robustheitscheck</w:t>
            </w:r>
          </w:p>
        </w:tc>
        <w:tc>
          <w:p>
            <w:pPr>
              <w:pStyle w:val="Compact"/>
              <w:jc w:val="left"/>
            </w:pPr>
            <w:r>
              <w:t xml:space="preserve">öffentlich, §12 Abs. 3 StromNZV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training_cities/</w:t>
            </w:r>
            <w:r>
              <w:t xml:space="preserve"> </w:t>
            </w:r>
            <w:r>
              <w:t xml:space="preserve">(50 CSV)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modelliert/synthetisch</w:t>
            </w:r>
          </w:p>
        </w:tc>
        <w:tc>
          <w:p>
            <w:pPr>
              <w:pStyle w:val="Compact"/>
              <w:jc w:val="left"/>
            </w:pPr>
            <w:r>
              <w:t xml:space="preserve">Stadt-Skalierung der Pipeline</w:t>
            </w:r>
          </w:p>
        </w:tc>
        <w:tc>
          <w:p>
            <w:pPr>
              <w:pStyle w:val="Compact"/>
              <w:jc w:val="left"/>
            </w:pPr>
            <w:r>
              <w:t xml:space="preserve">s. u. — KEINE Messdaten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OPSD/CoSSMic Konstanz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echt</w:t>
            </w:r>
            <w:r>
              <w:t xml:space="preserve"> </w:t>
            </w:r>
            <w:r>
              <w:t xml:space="preserve">(11 Haushalte)</w:t>
            </w:r>
          </w:p>
        </w:tc>
        <w:tc>
          <w:p>
            <w:pPr>
              <w:pStyle w:val="Compact"/>
              <w:jc w:val="left"/>
            </w:pPr>
            <w:r>
              <w:t xml:space="preserve">Kleinlast-Proxy (T9/T10)</w:t>
            </w:r>
          </w:p>
        </w:tc>
        <w:tc>
          <w:p>
            <w:pPr>
              <w:pStyle w:val="Compact"/>
              <w:jc w:val="left"/>
            </w:pPr>
            <w:r>
              <w:t xml:space="preserve">real, aber 2013–2017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HEAPO (Kanton Zürich)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echt</w:t>
            </w:r>
            <w:r>
              <w:t xml:space="preserve"> </w:t>
            </w:r>
            <w:r>
              <w:t xml:space="preserve">(1.408 WP-Haushalte)</w:t>
            </w:r>
          </w:p>
        </w:tc>
        <w:tc>
          <w:p>
            <w:pPr>
              <w:pStyle w:val="Compact"/>
              <w:jc w:val="left"/>
            </w:pPr>
            <w:r>
              <w:t xml:space="preserve">leakage-sicherer Wettertest (T12)</w:t>
            </w:r>
          </w:p>
        </w:tc>
        <w:tc>
          <w:p>
            <w:pPr>
              <w:pStyle w:val="Compact"/>
              <w:jc w:val="left"/>
            </w:pPr>
            <w:r>
              <w:t xml:space="preserve">real, 2018–2024</w:t>
            </w:r>
          </w:p>
        </w:tc>
      </w:tr>
    </w:tbl>
    <w:p>
      <w:pPr>
        <w:pStyle w:val="BodyText"/>
      </w:pPr>
      <w:r>
        <w:rPr>
          <w:b/>
        </w:rPr>
        <w:t xml:space="preserve">Warum die 50 Stadt-CSVs modelliert sind — drei unabhängige Belege [S]: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Identische Mittelwerte:</w:t>
      </w:r>
      <w:r>
        <w:t xml:space="preserve"> </w:t>
      </w:r>
      <w:r>
        <w:t xml:space="preserve">12 von 50 Städten teilen einen Ø-Lastwert exakt auf 0,1 MW — fünf Städte</w:t>
      </w:r>
      <w:r>
        <w:t xml:space="preserve"> </w:t>
      </w:r>
      <w:r>
        <w:t xml:space="preserve">liegen alle bei</w:t>
      </w:r>
      <w:r>
        <w:t xml:space="preserve"> </w:t>
      </w:r>
      <w:r>
        <w:rPr>
          <w:b/>
        </w:rPr>
        <w:t xml:space="preserve">genau 69,6 MW</w:t>
      </w:r>
      <w:r>
        <w:t xml:space="preserve"> </w:t>
      </w:r>
      <w:r>
        <w:t xml:space="preserve">(Leverkusen, Ludwigshafen, Oldenburg, Osnabrück, Solingen). Reale</w:t>
      </w:r>
      <w:r>
        <w:t xml:space="preserve"> </w:t>
      </w:r>
      <w:r>
        <w:t xml:space="preserve">Messlast kann nicht so zusammenfallen.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Cross-City-Korrelation</w:t>
      </w:r>
      <w:r>
        <w:t xml:space="preserve"> </w:t>
      </w:r>
      <w:r>
        <w:t xml:space="preserve">der normierten Tagesform r ≈ 0,89–0,98 (Münster–Berlin 0,98).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Dateinamen</w:t>
      </w:r>
      <w:r>
        <w:t xml:space="preserve"> </w:t>
      </w:r>
      <w:r>
        <w:t xml:space="preserve">mehrerer Geschwisterdateien tragen „_mock"; zusätzlich zeigt T11 (§6), dass echtes</w:t>
      </w:r>
      <w:r>
        <w:t xml:space="preserve"> </w:t>
      </w:r>
      <w:r>
        <w:t xml:space="preserve">lokales Wetter diese Last nicht vorhersagt →</w:t>
      </w:r>
      <w:r>
        <w:t xml:space="preserve"> </w:t>
      </w:r>
      <w:r>
        <w:rPr>
          <w:b/>
        </w:rPr>
        <w:t xml:space="preserve">keine echte Wetter-Kopplung</w:t>
      </w:r>
      <w:r>
        <w:t xml:space="preserve"> </w:t>
      </w:r>
      <w:r>
        <w:t xml:space="preserve">= Template-Charakter.</w:t>
      </w:r>
    </w:p>
    <w:p>
      <w:pPr>
        <w:pStyle w:val="BodyText"/>
      </w:pPr>
      <w:r>
        <w:t xml:space="preserve">→ Sehr nützlich zum Entwickeln/Kalibrieren der Pipeline,</w:t>
      </w:r>
      <w:r>
        <w:t xml:space="preserve"> </w:t>
      </w:r>
      <w:r>
        <w:rPr>
          <w:b/>
        </w:rPr>
        <w:t xml:space="preserve">aber kein Beleg für Kunde/Gutachter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prognose-ergebnisse"/>
      <w:r>
        <w:t xml:space="preserve">4. Prognose-Ergebnisse</w:t>
      </w:r>
      <w:bookmarkEnd w:id="25"/>
    </w:p>
    <w:p>
      <w:pPr>
        <w:pStyle w:val="Heading3"/>
      </w:pPr>
      <w:bookmarkStart w:id="26" w:name="X2ca68de34c5f7fa4cc746a5eb8ee7c66d68b6cf"/>
      <w:r>
        <w:t xml:space="preserve">4.1 Nationale Last &amp; Residuallast (SMARD, 2-Jahres-Backtest) [H]</w:t>
      </w:r>
      <w:bookmarkEnd w:id="26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Ziel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Skill vs. saisonal-naiv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Last</w:t>
            </w:r>
          </w:p>
        </w:tc>
        <w:tc>
          <w:p>
            <w:pPr>
              <w:pStyle w:val="Compact"/>
              <w:jc w:val="left"/>
            </w:pPr>
            <w:r>
              <w:t xml:space="preserve">1758,8 MW</w:t>
            </w:r>
          </w:p>
        </w:tc>
        <w:tc>
          <w:p>
            <w:pPr>
              <w:pStyle w:val="Compact"/>
              <w:jc w:val="left"/>
            </w:pPr>
            <w:r>
              <w:t xml:space="preserve">3,36 %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+55,8 %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Residuallast (direkt)</w:t>
            </w:r>
          </w:p>
        </w:tc>
        <w:tc>
          <w:p>
            <w:pPr>
              <w:pStyle w:val="Compact"/>
              <w:jc w:val="left"/>
            </w:pPr>
            <w:r>
              <w:t xml:space="preserve">2707,1 MW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+52,1 %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Residuallast (physik. PV/Wind-Pfad, pvlib/windpowerlib + Bias)</w:t>
            </w:r>
          </w:p>
        </w:tc>
        <w:tc>
          <w:p>
            <w:pPr>
              <w:pStyle w:val="Compact"/>
              <w:jc w:val="left"/>
            </w:pPr>
            <w:r>
              <w:t xml:space="preserve">2796,4 MW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+50,5 %</w:t>
            </w:r>
          </w:p>
        </w:tc>
      </w:tr>
    </w:tbl>
    <w:p>
      <w:pPr>
        <w:pStyle w:val="BodyText"/>
      </w:pPr>
      <w:r>
        <w:t xml:space="preserve">Reproduktion v1 (12-Wochen, ridge-korrigiert)</w:t>
      </w:r>
      <w:r>
        <w:t xml:space="preserve"> </w:t>
      </w:r>
      <w:r>
        <w:rPr>
          <w:b/>
        </w:rPr>
        <w:t xml:space="preserve">[S]</w:t>
      </w:r>
      <w:r>
        <w:t xml:space="preserve">: MAE 1411,4 MW (saisonal-naiv 1472,4; Persistenz</w:t>
      </w:r>
      <w:r>
        <w:t xml:space="preserve"> </w:t>
      </w:r>
      <w:r>
        <w:t xml:space="preserve">3816,2), Coverage 81,5 %.</w:t>
      </w:r>
    </w:p>
    <w:p>
      <w:pPr>
        <w:pStyle w:val="Heading3"/>
      </w:pPr>
      <w:bookmarkStart w:id="27" w:name="Xb7bd6ac41e6bb12308dca7fb08068fcd7041bda"/>
      <w:r>
        <w:t xml:space="preserve">4.2 50 Stadt-Profile (rolling-origin, 14 Testtage je Stadt) [S]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Range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positiv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MAPE (Last)</w:t>
            </w:r>
          </w:p>
        </w:tc>
        <w:tc>
          <w:p>
            <w:pPr>
              <w:pStyle w:val="Compact"/>
              <w:jc w:val="left"/>
            </w:pPr>
            <w:r>
              <w:t xml:space="preserve">6,67 %</w:t>
            </w:r>
          </w:p>
        </w:tc>
        <w:tc>
          <w:p>
            <w:pPr>
              <w:pStyle w:val="Compact"/>
              <w:jc w:val="left"/>
            </w:pPr>
            <w:r>
              <w:t xml:space="preserve">6,15–7,73 %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Skill vs. saisonal-naiv (Last)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+3,9 %</w:t>
            </w:r>
          </w:p>
        </w:tc>
        <w:tc>
          <w:p>
            <w:pPr>
              <w:pStyle w:val="Compact"/>
              <w:jc w:val="left"/>
            </w:pPr>
            <w:r>
              <w:t xml:space="preserve">+1,2…+8,3 %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50/50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Skill vs. saisonal-naiv (Residuallast)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+3,9 %</w:t>
            </w:r>
          </w:p>
        </w:tc>
        <w:tc>
          <w:p>
            <w:pPr>
              <w:pStyle w:val="Compact"/>
              <w:jc w:val="left"/>
            </w:pPr>
            <w:r>
              <w:t xml:space="preserve">+1,1…+16,3 %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50/50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Skill vs. Persistenz</w:t>
            </w:r>
          </w:p>
        </w:tc>
        <w:tc>
          <w:p>
            <w:pPr>
              <w:pStyle w:val="Compact"/>
              <w:jc w:val="left"/>
            </w:pPr>
            <w:r>
              <w:t xml:space="preserve">+54,8 %</w:t>
            </w:r>
          </w:p>
        </w:tc>
        <w:tc>
          <w:p>
            <w:pPr>
              <w:pStyle w:val="Compact"/>
              <w:jc w:val="left"/>
            </w:pPr>
            <w:r>
              <w:t xml:space="preserve">+49,8…+58,9 %</w:t>
            </w:r>
          </w:p>
        </w:tc>
        <w:tc>
          <w:p>
            <w:pPr>
              <w:pStyle w:val="Compact"/>
              <w:jc w:val="left"/>
            </w:pPr>
            <w:r>
              <w:t xml:space="preserve">50/50</w:t>
            </w:r>
          </w:p>
        </w:tc>
      </w:tr>
    </w:tbl>
    <w:p>
      <w:pPr>
        <w:pStyle w:val="BodyText"/>
      </w:pPr>
      <w:r>
        <w:t xml:space="preserve">MAPE liegt erwartungsgemäß zwischen national (3,4 %) und einem groben Kleinlast-Proxy (~15 %). Der</w:t>
      </w:r>
      <w:r>
        <w:t xml:space="preserve"> </w:t>
      </w:r>
      <w:r>
        <w:t xml:space="preserve">Vorsprung gegen saisonal-naiv ist</w:t>
      </w:r>
      <w:r>
        <w:t xml:space="preserve"> </w:t>
      </w:r>
      <w:r>
        <w:rPr>
          <w:b/>
        </w:rPr>
        <w:t xml:space="preserve">dünn, aber konsistent</w:t>
      </w:r>
      <w:r>
        <w:t xml:space="preserve"> </w:t>
      </w:r>
      <w:r>
        <w:t xml:space="preserve">(jede der 50 Städte schlägt beide Baselines).</w:t>
      </w:r>
    </w:p>
    <w:p>
      <w:pPr>
        <w:pStyle w:val="Heading3"/>
      </w:pPr>
      <w:bookmarkStart w:id="28" w:name="Xe2aca9753a2b07706e8a820780f95cd14a13de0"/>
      <w:r>
        <w:t xml:space="preserve">4.3 Statistische Signifikanz (paired Block-Bootstrap, Block = Tag) [S]</w:t>
      </w:r>
      <w:bookmarkEnd w:id="28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National v1</w:t>
      </w:r>
      <w:r>
        <w:t xml:space="preserve"> </w:t>
      </w:r>
      <w:r>
        <w:t xml:space="preserve">(12 Wochen): vs. saisonal-naiv +4,1 %</w:t>
      </w:r>
      <w:r>
        <w:t xml:space="preserve"> </w:t>
      </w:r>
      <w:r>
        <w:rPr>
          <w:b/>
        </w:rPr>
        <w:t xml:space="preserve">nicht signifikant</w:t>
      </w:r>
      <w:r>
        <w:t xml:space="preserve"> </w:t>
      </w:r>
      <w:r>
        <w:t xml:space="preserve">(CI95 [−13,1; +17,5]);</w:t>
      </w:r>
      <w:r>
        <w:t xml:space="preserve"> </w:t>
      </w:r>
      <w:r>
        <w:t xml:space="preserve">vs. Persistenz +63,0 % signifikant. Erst T3 (2 J + Wetter, +55,8 %) ist statistisch belastbar.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Pro Stadt</w:t>
      </w:r>
      <w:r>
        <w:t xml:space="preserve"> </w:t>
      </w:r>
      <w:r>
        <w:t xml:space="preserve">(n = 14 Testtage, 10/50 gerechnet): vs. Persistenz</w:t>
      </w:r>
      <w:r>
        <w:t xml:space="preserve"> </w:t>
      </w:r>
      <w:r>
        <w:rPr>
          <w:b/>
        </w:rPr>
        <w:t xml:space="preserve">10/10 signifikant</w:t>
      </w:r>
      <w:r>
        <w:t xml:space="preserve">; vs. saisonal-naiv</w:t>
      </w:r>
      <w:r>
        <w:t xml:space="preserve"> </w:t>
      </w:r>
      <w:r>
        <w:rPr>
          <w:b/>
        </w:rPr>
        <w:t xml:space="preserve">4/10</w:t>
      </w:r>
      <w:r>
        <w:t xml:space="preserve"> </w:t>
      </w:r>
      <w:r>
        <w:t xml:space="preserve">— genau die Städte mit Skill ≥ 5 %. Auf 14 Tagen ist ein Einzel-Vorsprung von ~+2–4 % nicht von</w:t>
      </w:r>
      <w:r>
        <w:t xml:space="preserve"> </w:t>
      </w:r>
      <w:r>
        <w:t xml:space="preserve">0 unterscheidbar (CI-Halbweite ~±5 pp).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Aggregat:</w:t>
      </w:r>
      <w:r>
        <w:t xml:space="preserve"> </w:t>
      </w:r>
      <w:r>
        <w:t xml:space="preserve">50/50 Städte positiv → Vorzeichentest p ≈ 10⁻¹⁵ (Caveat: Städte korreliert, effektives</w:t>
      </w:r>
      <w:r>
        <w:t xml:space="preserve"> </w:t>
      </w:r>
      <w:r>
        <w:t xml:space="preserve">N &lt; 50).</w:t>
      </w:r>
      <w:r>
        <w:t xml:space="preserve"> </w:t>
      </w:r>
      <w:r>
        <w:rPr>
          <w:b/>
        </w:rPr>
        <w:t xml:space="preserve">Die belastbare Aussage ist das Aggregat, nicht die Einzelstadt.</w:t>
      </w:r>
    </w:p>
    <w:p>
      <w:pPr>
        <w:pStyle w:val="Heading3"/>
      </w:pPr>
      <w:bookmarkStart w:id="29" w:name="kalibrierung-cqr-s-national-h"/>
      <w:r>
        <w:t xml:space="preserve">4.4 Kalibrierung (CQR) [S national: H]</w:t>
      </w:r>
      <w:bookmarkEnd w:id="29"/>
    </w:p>
    <w:p>
      <w:pPr>
        <w:numPr>
          <w:ilvl w:val="0"/>
          <w:numId w:val="1003"/>
        </w:numPr>
        <w:pStyle w:val="Compact"/>
      </w:pPr>
      <w:r>
        <w:t xml:space="preserve">National</w:t>
      </w:r>
      <w:r>
        <w:t xml:space="preserve"> </w:t>
      </w:r>
      <w:r>
        <w:rPr>
          <w:b/>
        </w:rPr>
        <w:t xml:space="preserve">[H]</w:t>
      </w:r>
      <w:r>
        <w:t xml:space="preserve">: Last 81,2 / 87,6 %, Residuallast 82,6 / 90,9 % (Soll 80/90 %).</w:t>
      </w:r>
    </w:p>
    <w:p>
      <w:pPr>
        <w:numPr>
          <w:ilvl w:val="0"/>
          <w:numId w:val="1003"/>
        </w:numPr>
        <w:pStyle w:val="Compact"/>
      </w:pPr>
      <w:r>
        <w:t xml:space="preserve">50 Städte</w:t>
      </w:r>
      <w:r>
        <w:t xml:space="preserve"> </w:t>
      </w:r>
      <w:r>
        <w:rPr>
          <w:b/>
        </w:rPr>
        <w:t xml:space="preserve">[S]</w:t>
      </w:r>
      <w:r>
        <w:t xml:space="preserve">: 80-%-Coverage Median 79,8 % (Mittel 80,1 %), 90-%-Coverage Median 90,2 %;</w:t>
      </w:r>
      <w:r>
        <w:t xml:space="preserve"> </w:t>
      </w:r>
      <w:r>
        <w:rPr>
          <w:b/>
        </w:rPr>
        <w:t xml:space="preserve">jede der 50 Städte innerhalb ±5 pp</w:t>
      </w:r>
      <w:r>
        <w:t xml:space="preserve"> </w:t>
      </w:r>
      <w:r>
        <w:t xml:space="preserve">des Sollwerts. Die Bänder sind stadtweit belastbar, nicht nur</w:t>
      </w:r>
      <w:r>
        <w:t xml:space="preserve"> </w:t>
      </w:r>
      <w:r>
        <w:t xml:space="preserve">national. (MAPIE/EnbPI wurde getestet, blieb unterkalibriert → belastbar ist rolling CQR.)</w:t>
      </w:r>
    </w:p>
    <w:p>
      <w:pPr>
        <w:pStyle w:val="Heading3"/>
      </w:pPr>
      <w:bookmarkStart w:id="30" w:name="X98a214bfce8eaa5a8ee9c30814cdcf97d5da5a8"/>
      <w:r>
        <w:t xml:space="preserve">4.5 Erstes echtes Stadtwerk (Hilden, öffentlich) [H]</w:t>
      </w:r>
      <w:bookmarkEnd w:id="30"/>
    </w:p>
    <w:p>
      <w:pPr>
        <w:pStyle w:val="FirstParagraph"/>
      </w:pPr>
      <w:r>
        <w:t xml:space="preserve">T14 hat sechs öffentlich herunterladbare Volljahres-Lastgänge echter deutscher Netzbetreiber in</w:t>
      </w:r>
      <w:r>
        <w:t xml:space="preserve"> </w:t>
      </w:r>
      <w:r>
        <w:rPr>
          <w:rStyle w:val="VerbatimChar"/>
        </w:rPr>
        <w:t xml:space="preserve">data_cache/real/</w:t>
      </w:r>
      <w:r>
        <w:t xml:space="preserve"> </w:t>
      </w:r>
      <w:r>
        <w:t xml:space="preserve">gezogen und mit</w:t>
      </w:r>
      <w:r>
        <w:t xml:space="preserve"> </w:t>
      </w:r>
      <w:r>
        <w:rPr>
          <w:rStyle w:val="VerbatimChar"/>
        </w:rPr>
        <w:t xml:space="preserve">scripts/pilot_in_a_box.py</w:t>
      </w:r>
      <w:r>
        <w:t xml:space="preserve"> </w:t>
      </w:r>
      <w:r>
        <w:t xml:space="preserve">leakage-sicher ausgewertet (364/365 Tage</w:t>
      </w:r>
      <w:r>
        <w:t xml:space="preserve"> </w:t>
      </w:r>
      <w:r>
        <w:t xml:space="preserve">Historie, 28 rollierende Testtage, saisonal-naiv und Persistenz als Baselines).</w:t>
      </w:r>
    </w:p>
    <w:tbl>
      <w:tblPr>
        <w:tblStyle w:val="Table"/>
        <w:tblW w:type="pct" w:w="4999.999999999999"/>
        <w:tblLook w:firstRow="1"/>
      </w:tblPr>
      <w:tblGrid>
        <w:gridCol w:w="792"/>
        <w:gridCol w:w="792"/>
        <w:gridCol w:w="1056"/>
        <w:gridCol w:w="1056"/>
        <w:gridCol w:w="1056"/>
        <w:gridCol w:w="1056"/>
        <w:gridCol w:w="1056"/>
        <w:gridCol w:w="105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Datensatz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Ø Last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MAE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MAPE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Skill vs. S-Naiv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Skill vs. Persistenz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CQR 80/90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Hilden Netzumsatz 2025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gemessener Netzdurchsatz (echte Last)</w:t>
            </w:r>
          </w:p>
        </w:tc>
        <w:tc>
          <w:p>
            <w:pPr>
              <w:pStyle w:val="Compact"/>
              <w:jc w:val="right"/>
            </w:pPr>
            <w:r>
              <w:t xml:space="preserve">29,2 MW</w:t>
            </w:r>
          </w:p>
        </w:tc>
        <w:tc>
          <w:p>
            <w:pPr>
              <w:pStyle w:val="Compact"/>
              <w:jc w:val="right"/>
            </w:pPr>
            <w:r>
              <w:t xml:space="preserve">1,3 MW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4,36 %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+16,5 %</w:t>
            </w:r>
          </w:p>
        </w:tc>
        <w:tc>
          <w:p>
            <w:pPr>
              <w:pStyle w:val="Compact"/>
              <w:jc w:val="right"/>
            </w:pPr>
            <w:r>
              <w:t xml:space="preserve">+40,2 %</w:t>
            </w:r>
          </w:p>
        </w:tc>
        <w:tc>
          <w:p>
            <w:pPr>
              <w:pStyle w:val="Compact"/>
              <w:jc w:val="right"/>
            </w:pPr>
            <w:r>
              <w:t xml:space="preserve">74,4 / 84,5 %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Hilden DBA 2025</w:t>
            </w:r>
          </w:p>
        </w:tc>
        <w:tc>
          <w:p>
            <w:pPr>
              <w:pStyle w:val="Compact"/>
              <w:jc w:val="left"/>
            </w:pPr>
            <w:r>
              <w:t xml:space="preserve">signierte Differenzbilanz</w:t>
            </w:r>
          </w:p>
        </w:tc>
        <w:tc>
          <w:p>
            <w:pPr>
              <w:pStyle w:val="Compact"/>
              <w:jc w:val="right"/>
            </w:pPr>
            <w:r>
              <w:t xml:space="preserve">0,31 MW</w:t>
            </w:r>
          </w:p>
        </w:tc>
        <w:tc>
          <w:p>
            <w:pPr>
              <w:pStyle w:val="Compact"/>
              <w:jc w:val="right"/>
            </w:pPr>
            <w:r>
              <w:t xml:space="preserve">0,5 MW</w:t>
            </w:r>
          </w:p>
        </w:tc>
        <w:tc>
          <w:p>
            <w:pPr>
              <w:pStyle w:val="Compact"/>
              <w:jc w:val="right"/>
            </w:pPr>
            <w:r>
              <w:t xml:space="preserve">190 %*</w:t>
            </w:r>
          </w:p>
        </w:tc>
        <w:tc>
          <w:p>
            <w:pPr>
              <w:pStyle w:val="Compact"/>
              <w:jc w:val="right"/>
            </w:pPr>
            <w:r>
              <w:t xml:space="preserve">+24,5 %</w:t>
            </w:r>
          </w:p>
        </w:tc>
        <w:tc>
          <w:p>
            <w:pPr>
              <w:pStyle w:val="Compact"/>
              <w:jc w:val="right"/>
            </w:pPr>
            <w:r>
              <w:t xml:space="preserve">+9,8 %</w:t>
            </w:r>
          </w:p>
        </w:tc>
        <w:tc>
          <w:p>
            <w:pPr>
              <w:pStyle w:val="Compact"/>
              <w:jc w:val="right"/>
            </w:pPr>
            <w:r>
              <w:t xml:space="preserve">72,8 / 83,8 %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EAM BG1 2024</w:t>
            </w:r>
          </w:p>
        </w:tc>
        <w:tc>
          <w:p>
            <w:pPr>
              <w:pStyle w:val="Compact"/>
              <w:jc w:val="left"/>
            </w:pPr>
            <w:r>
              <w:t xml:space="preserve">signierte Differenzbilanz</w:t>
            </w:r>
          </w:p>
        </w:tc>
        <w:tc>
          <w:p>
            <w:pPr>
              <w:pStyle w:val="Compact"/>
              <w:jc w:val="right"/>
            </w:pPr>
            <w:r>
              <w:t xml:space="preserve">-2,9 MW</w:t>
            </w:r>
          </w:p>
        </w:tc>
        <w:tc>
          <w:p>
            <w:pPr>
              <w:pStyle w:val="Compact"/>
              <w:jc w:val="right"/>
            </w:pPr>
            <w:r>
              <w:t xml:space="preserve">16,1 MW</w:t>
            </w:r>
          </w:p>
        </w:tc>
        <w:tc>
          <w:p>
            <w:pPr>
              <w:pStyle w:val="Compact"/>
              <w:jc w:val="right"/>
            </w:pPr>
            <w:r>
              <w:t xml:space="preserve">226 %*</w:t>
            </w:r>
          </w:p>
        </w:tc>
        <w:tc>
          <w:p>
            <w:pPr>
              <w:pStyle w:val="Compact"/>
              <w:jc w:val="right"/>
            </w:pPr>
            <w:r>
              <w:t xml:space="preserve">+19,9 %</w:t>
            </w:r>
          </w:p>
        </w:tc>
        <w:tc>
          <w:p>
            <w:pPr>
              <w:pStyle w:val="Compact"/>
              <w:jc w:val="right"/>
            </w:pPr>
            <w:r>
              <w:t xml:space="preserve">+17,5 %</w:t>
            </w:r>
          </w:p>
        </w:tc>
        <w:tc>
          <w:p>
            <w:pPr>
              <w:pStyle w:val="Compact"/>
              <w:jc w:val="right"/>
            </w:pPr>
            <w:r>
              <w:t xml:space="preserve">75,0 / 85,9 %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EAM BG2 2024</w:t>
            </w:r>
          </w:p>
        </w:tc>
        <w:tc>
          <w:p>
            <w:pPr>
              <w:pStyle w:val="Compact"/>
              <w:jc w:val="left"/>
            </w:pPr>
            <w:r>
              <w:t xml:space="preserve">signierte Differenzbilanz</w:t>
            </w:r>
          </w:p>
        </w:tc>
        <w:tc>
          <w:p>
            <w:pPr>
              <w:pStyle w:val="Compact"/>
              <w:jc w:val="right"/>
            </w:pPr>
            <w:r>
              <w:t xml:space="preserve">0,22 MW</w:t>
            </w:r>
          </w:p>
        </w:tc>
        <w:tc>
          <w:p>
            <w:pPr>
              <w:pStyle w:val="Compact"/>
              <w:jc w:val="right"/>
            </w:pPr>
            <w:r>
              <w:t xml:space="preserve">0,4 MW</w:t>
            </w:r>
          </w:p>
        </w:tc>
        <w:tc>
          <w:p>
            <w:pPr>
              <w:pStyle w:val="Compact"/>
              <w:jc w:val="right"/>
            </w:pPr>
            <w:r>
              <w:t xml:space="preserve">168 %*</w:t>
            </w:r>
          </w:p>
        </w:tc>
        <w:tc>
          <w:p>
            <w:pPr>
              <w:pStyle w:val="Compact"/>
              <w:jc w:val="right"/>
            </w:pPr>
            <w:r>
              <w:t xml:space="preserve">+19,8 %</w:t>
            </w:r>
          </w:p>
        </w:tc>
        <w:tc>
          <w:p>
            <w:pPr>
              <w:pStyle w:val="Compact"/>
              <w:jc w:val="right"/>
            </w:pPr>
            <w:r>
              <w:t xml:space="preserve">+20,7 %</w:t>
            </w:r>
          </w:p>
        </w:tc>
        <w:tc>
          <w:p>
            <w:pPr>
              <w:pStyle w:val="Compact"/>
              <w:jc w:val="right"/>
            </w:pPr>
            <w:r>
              <w:t xml:space="preserve">76,2 / 87,6 %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EAM BG3 2024</w:t>
            </w:r>
          </w:p>
        </w:tc>
        <w:tc>
          <w:p>
            <w:pPr>
              <w:pStyle w:val="Compact"/>
              <w:jc w:val="left"/>
            </w:pPr>
            <w:r>
              <w:t xml:space="preserve">signierte Differenzbilanz</w:t>
            </w:r>
          </w:p>
        </w:tc>
        <w:tc>
          <w:p>
            <w:pPr>
              <w:pStyle w:val="Compact"/>
              <w:jc w:val="right"/>
            </w:pPr>
            <w:r>
              <w:t xml:space="preserve">1,47 MW</w:t>
            </w:r>
          </w:p>
        </w:tc>
        <w:tc>
          <w:p>
            <w:pPr>
              <w:pStyle w:val="Compact"/>
              <w:jc w:val="right"/>
            </w:pPr>
            <w:r>
              <w:t xml:space="preserve">1,7 MW</w:t>
            </w:r>
          </w:p>
        </w:tc>
        <w:tc>
          <w:p>
            <w:pPr>
              <w:pStyle w:val="Compact"/>
              <w:jc w:val="right"/>
            </w:pPr>
            <w:r>
              <w:t xml:space="preserve">205 %*</w:t>
            </w:r>
          </w:p>
        </w:tc>
        <w:tc>
          <w:p>
            <w:pPr>
              <w:pStyle w:val="Compact"/>
              <w:jc w:val="right"/>
            </w:pPr>
            <w:r>
              <w:t xml:space="preserve">+3,2 %</w:t>
            </w:r>
          </w:p>
        </w:tc>
        <w:tc>
          <w:p>
            <w:pPr>
              <w:pStyle w:val="Compact"/>
              <w:jc w:val="right"/>
            </w:pPr>
            <w:r>
              <w:t xml:space="preserve">+20,0 %</w:t>
            </w:r>
          </w:p>
        </w:tc>
        <w:tc>
          <w:p>
            <w:pPr>
              <w:pStyle w:val="Compact"/>
              <w:jc w:val="right"/>
            </w:pPr>
            <w:r>
              <w:t xml:space="preserve">73,8 / 84,2 %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Hilden SLP-Summenlast 2025 †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synthetisches SLP-Profil</w:t>
            </w:r>
          </w:p>
        </w:tc>
        <w:tc>
          <w:p>
            <w:pPr>
              <w:pStyle w:val="Compact"/>
              <w:jc w:val="right"/>
            </w:pPr>
            <w:r>
              <w:t xml:space="preserve">12,0 MW</w:t>
            </w:r>
          </w:p>
        </w:tc>
        <w:tc>
          <w:p>
            <w:pPr>
              <w:pStyle w:val="Compact"/>
              <w:jc w:val="right"/>
            </w:pPr>
            <w:r>
              <w:t xml:space="preserve">0,2 MW</w:t>
            </w:r>
          </w:p>
        </w:tc>
        <w:tc>
          <w:p>
            <w:pPr>
              <w:pStyle w:val="Compact"/>
              <w:jc w:val="right"/>
            </w:pPr>
            <w:r>
              <w:t xml:space="preserve">1,76 %</w:t>
            </w:r>
          </w:p>
        </w:tc>
        <w:tc>
          <w:p>
            <w:pPr>
              <w:pStyle w:val="Compact"/>
              <w:jc w:val="right"/>
            </w:pPr>
            <w:r>
              <w:t xml:space="preserve">+34,0 %</w:t>
            </w:r>
          </w:p>
        </w:tc>
        <w:tc>
          <w:p>
            <w:pPr>
              <w:pStyle w:val="Compact"/>
              <w:jc w:val="right"/>
            </w:pPr>
            <w:r>
              <w:t xml:space="preserve">+48,5 %</w:t>
            </w:r>
          </w:p>
        </w:tc>
        <w:tc>
          <w:p>
            <w:pPr>
              <w:pStyle w:val="Compact"/>
              <w:jc w:val="right"/>
            </w:pPr>
            <w:r>
              <w:t xml:space="preserve">77,4 / 84,2 %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*</w:t>
      </w:r>
      <w:r>
        <w:t xml:space="preserve"> </w:t>
      </w:r>
      <w:r>
        <w:t xml:space="preserve">MAPE ist bei signierten Differenzbilanz-/DBA-Reihen mit Nulldurchgängen wenig aussagekräftig; dort sind</w:t>
      </w:r>
      <w:r>
        <w:t xml:space="preserve"> </w:t>
      </w:r>
      <w:r>
        <w:t xml:space="preserve">MAE, MASE, Skill gegen Baselines und Coverage die relevante Lesart.</w:t>
      </w:r>
      <w:r>
        <w:t xml:space="preserve"> </w:t>
      </w:r>
      <w:r>
        <w:rPr>
          <w:rStyle w:val="VerbatimChar"/>
        </w:rPr>
        <w:t xml:space="preserve">†</w:t>
      </w:r>
      <w:r>
        <w:t xml:space="preserve"> </w:t>
      </w:r>
      <w:r>
        <w:rPr>
          <w:b/>
        </w:rPr>
        <w:t xml:space="preserve">SLP-Summenlast ist KEINE gemessene Nachfrage</w:t>
      </w:r>
      <w:r>
        <w:t xml:space="preserve">, sondern die Summe der BDEW-Standardlastprofile</w:t>
      </w:r>
      <w:r>
        <w:t xml:space="preserve"> </w:t>
      </w:r>
      <w:r>
        <w:t xml:space="preserve">(Profil × Jahresverbrauch × Dynamisierung) — quasi-deterministisch. Die 1,76 % MAPE liegt sogar</w:t>
      </w:r>
      <w:r>
        <w:t xml:space="preserve"> </w:t>
      </w:r>
      <w:r>
        <w:rPr>
          <w:i/>
        </w:rPr>
        <w:t xml:space="preserve">unter</w:t>
      </w:r>
      <w:r>
        <w:t xml:space="preserve"> </w:t>
      </w:r>
      <w:r>
        <w:t xml:space="preserve">der nationalen gemessenen Last (3,36 %) — das verräterische Zeichen für ein „zu leichtes" synthetisches</w:t>
      </w:r>
      <w:r>
        <w:t xml:space="preserve"> </w:t>
      </w:r>
      <w:r>
        <w:t xml:space="preserve">Profil. Nur Funktionsnachweis des Loaders,</w:t>
      </w:r>
      <w:r>
        <w:t xml:space="preserve"> </w:t>
      </w:r>
      <w:r>
        <w:rPr>
          <w:b/>
        </w:rPr>
        <w:t xml:space="preserve">kein</w:t>
      </w:r>
      <w:r>
        <w:t xml:space="preserve"> </w:t>
      </w:r>
      <w:r>
        <w:t xml:space="preserve">Beleg echter Prognosegüte.</w:t>
      </w:r>
    </w:p>
    <w:p>
      <w:pPr>
        <w:pStyle w:val="BodyText"/>
      </w:pPr>
      <w:r>
        <w:rPr>
          <w:b/>
        </w:rPr>
        <w:t xml:space="preserve">Headline (ehrlich):</w:t>
      </w:r>
      <w:r>
        <w:t xml:space="preserve"> </w:t>
      </w:r>
      <w:r>
        <w:t xml:space="preserve">Auf dem</w:t>
      </w:r>
      <w:r>
        <w:t xml:space="preserve"> </w:t>
      </w:r>
      <w:r>
        <w:rPr>
          <w:b/>
        </w:rPr>
        <w:t xml:space="preserve">gemessenen</w:t>
      </w:r>
      <w:r>
        <w:t xml:space="preserve"> </w:t>
      </w:r>
      <w:r>
        <w:t xml:space="preserve">Stadtwerke-Hilden-</w:t>
      </w:r>
      <w:r>
        <w:rPr>
          <w:b/>
        </w:rPr>
        <w:t xml:space="preserve">Netzumsatz</w:t>
      </w:r>
      <w:r>
        <w:t xml:space="preserve"> </w:t>
      </w:r>
      <w:r>
        <w:t xml:space="preserve">2025 erreicht NetzPilot</w:t>
      </w:r>
      <w:r>
        <w:t xml:space="preserve"> </w:t>
      </w:r>
      <w:r>
        <w:rPr>
          <w:b/>
        </w:rPr>
        <w:t xml:space="preserve">MAPE 4,36 %</w:t>
      </w:r>
      <w:r>
        <w:t xml:space="preserve"> </w:t>
      </w:r>
      <w:r>
        <w:t xml:space="preserve">und schlägt saisonal-naiv um</w:t>
      </w:r>
      <w:r>
        <w:t xml:space="preserve"> </w:t>
      </w:r>
      <w:r>
        <w:rPr>
          <w:b/>
        </w:rPr>
        <w:t xml:space="preserve">+16,5 %</w:t>
      </w:r>
      <w:r>
        <w:t xml:space="preserve"> </w:t>
      </w:r>
      <w:r>
        <w:t xml:space="preserve">(Persistenz +40,2 %), mit kalibrierten Bändern</w:t>
      </w:r>
      <w:r>
        <w:t xml:space="preserve"> </w:t>
      </w:r>
      <w:r>
        <w:t xml:space="preserve">(Coverage ~74/85 %). Das ist der erste belastbare Nachweis auf</w:t>
      </w:r>
      <w:r>
        <w:t xml:space="preserve"> </w:t>
      </w:r>
      <w:r>
        <w:rPr>
          <w:b/>
        </w:rPr>
        <w:t xml:space="preserve">echter, gemessener</w:t>
      </w:r>
      <w:r>
        <w:t xml:space="preserve"> </w:t>
      </w:r>
      <w:r>
        <w:t xml:space="preserve">deutscher Stadtwerk-</w:t>
      </w:r>
      <w:r>
        <w:t xml:space="preserve"> </w:t>
      </w:r>
      <w:r>
        <w:t xml:space="preserve">Last — plausibel knapp über der glatten nationalen Last (3,36 %), wie für ein kleineres Netz erwartbar.</w:t>
      </w:r>
      <w:r>
        <w:t xml:space="preserve"> </w:t>
      </w:r>
      <w:r>
        <w:t xml:space="preserve">Die</w:t>
      </w:r>
      <w:r>
        <w:t xml:space="preserve"> </w:t>
      </w:r>
      <w:r>
        <w:rPr>
          <w:b/>
        </w:rPr>
        <w:t xml:space="preserve">Differenzbilanz (DBA)</w:t>
      </w:r>
      <w:r>
        <w:t xml:space="preserve"> </w:t>
      </w:r>
      <w:r>
        <w:t xml:space="preserve">ist die bilanzkreis-/reBAP-relevante Größe (signiert → Skill/MAE statt MAPE;</w:t>
      </w:r>
      <w:r>
        <w:t xml:space="preserve"> </w:t>
      </w:r>
      <w:r>
        <w:t xml:space="preserve">Hilden DBA +24,5 % vs. saisonal-naiv). Caveat: Netzumsatz/DBA sind veröffentlichte Durchsatz-/Restprofile</w:t>
      </w:r>
      <w:r>
        <w:t xml:space="preserve"> </w:t>
      </w:r>
      <w:r>
        <w:t xml:space="preserve">(§12/§23c), nicht die volle kundeneigene RLM-Netzlast und nicht mit realen Bilanzkreis-Kosten verknüpft;</w:t>
      </w:r>
      <w:r>
        <w:t xml:space="preserve"> </w:t>
      </w:r>
      <w:r>
        <w:t xml:space="preserve">die Euro-Schätzung bleibt ein transparenter Proxy bis zur realen reBAP-Abrechnung.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a-steuerkreis-prototyp-s"/>
      <w:r>
        <w:t xml:space="preserve">5. §14a-Steuerkreis (Prototyp) [S]</w:t>
      </w:r>
      <w:bookmarkEnd w:id="31"/>
    </w:p>
    <w:p>
      <w:pPr>
        <w:pStyle w:val="FirstParagraph"/>
      </w:pPr>
      <w:r>
        <w:t xml:space="preserve">End-to-end in der Sandbox demonstriert: NetzPilot → Mock-aEMT (stdlib</w:t>
      </w:r>
      <w:r>
        <w:t xml:space="preserve"> </w:t>
      </w:r>
      <w:r>
        <w:rPr>
          <w:rStyle w:val="VerbatimChar"/>
        </w:rPr>
        <w:t xml:space="preserve">http.server</w:t>
      </w:r>
      <w:r>
        <w:t xml:space="preserve">) → simuliertes HEMS →</w:t>
      </w:r>
      <w:r>
        <w:t xml:space="preserve"> </w:t>
      </w:r>
      <w:r>
        <w:t xml:space="preserve">Wallbox. Im Engpassfenster wird die Wallbox 11 →</w:t>
      </w:r>
      <w:r>
        <w:t xml:space="preserve"> </w:t>
      </w:r>
      <w:r>
        <w:rPr>
          <w:b/>
        </w:rPr>
        <w:t xml:space="preserve">4,2 kW</w:t>
      </w:r>
      <w:r>
        <w:t xml:space="preserve"> </w:t>
      </w:r>
      <w:r>
        <w:t xml:space="preserve">gedrosselt;</w:t>
      </w:r>
      <w:r>
        <w:t xml:space="preserve"> </w:t>
      </w:r>
      <w:r>
        <w:rPr>
          <w:b/>
        </w:rPr>
        <w:t xml:space="preserve">illegale Fahrpläne (&lt; 4,2 kW</w:t>
      </w:r>
      <w:r>
        <w:rPr>
          <w:b/>
        </w:rPr>
        <w:t xml:space="preserve"> </w:t>
      </w:r>
      <w:r>
        <w:rPr>
          <w:b/>
        </w:rPr>
        <w:t xml:space="preserve">§14a-Mindestleistung) werden vom aEMT mit HTTP 422 abgelehnt</w:t>
      </w:r>
      <w:r>
        <w:t xml:space="preserve">. Das ist ein greifbarer Moat-Baustein —</w:t>
      </w:r>
      <w:r>
        <w:t xml:space="preserve"> </w:t>
      </w:r>
      <w:r>
        <w:t xml:space="preserve">ohne echtes SMGW/Zertifizierung, klar als Simulation gekennzeichnet.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X57f94e10e82124faf30f4d717db83bcc44242e0"/>
      <w:r>
        <w:t xml:space="preserve">6. Der Wetter-Lift — die ehrliche Geschichte (T10 → T11 → T12)</w:t>
      </w:r>
      <w:bookmarkEnd w:id="32"/>
    </w:p>
    <w:p>
      <w:pPr>
        <w:pStyle w:val="FirstParagraph"/>
      </w:pPr>
      <w:r>
        <w:t xml:space="preserve">Dieser Abschnitt ist das wichtigste Ehrlichkeits-Kapitel des Projekts.</w:t>
      </w:r>
    </w:p>
    <w:p>
      <w:pPr>
        <w:numPr>
          <w:ilvl w:val="0"/>
          <w:numId w:val="1004"/>
        </w:numPr>
      </w:pPr>
      <w:r>
        <w:rPr>
          <w:b/>
        </w:rPr>
        <w:t xml:space="preserve">T10 (alt): „+17,9 % durch lokales Wetter"</w:t>
      </w:r>
      <w:r>
        <w:t xml:space="preserve"> </w:t>
      </w:r>
      <w:r>
        <w:t xml:space="preserve">auf dem Konstanz-Kleinlastproxy — sah nach dem großen</w:t>
      </w:r>
      <w:r>
        <w:t xml:space="preserve"> </w:t>
      </w:r>
      <w:r>
        <w:t xml:space="preserve">Hebel aus.</w:t>
      </w:r>
      <w:r>
        <w:t xml:space="preserve"> </w:t>
      </w:r>
      <w:r>
        <w:rPr>
          <w:b/>
        </w:rPr>
        <w:t xml:space="preserve">[H]</w:t>
      </w:r>
    </w:p>
    <w:p>
      <w:pPr>
        <w:numPr>
          <w:ilvl w:val="0"/>
          <w:numId w:val="1004"/>
        </w:numPr>
      </w:pPr>
      <w:r>
        <w:rPr>
          <w:b/>
        </w:rPr>
        <w:t xml:space="preserve">Leakage-Beweis [S/H]:</w:t>
      </w:r>
      <w:r>
        <w:t xml:space="preserve"> </w:t>
      </w:r>
      <w:r>
        <w:t xml:space="preserve">Der T10-Lauf nutzte</w:t>
      </w:r>
      <w:r>
        <w:t xml:space="preserve"> </w:t>
      </w:r>
      <w:r>
        <w:rPr>
          <w:b/>
        </w:rPr>
        <w:t xml:space="preserve">2017er</w:t>
      </w:r>
      <w:r>
        <w:t xml:space="preserve"> </w:t>
      </w:r>
      <w:r>
        <w:t xml:space="preserve">Konstanz-Wetter über den „Historical-Forecast"-</w:t>
      </w:r>
      <w:r>
        <w:t xml:space="preserve"> </w:t>
      </w:r>
      <w:r>
        <w:t xml:space="preserve">Endpoint — aber dessen Archiv beginnt erst ~</w:t>
      </w:r>
      <w:r>
        <w:rPr>
          <w:b/>
        </w:rPr>
        <w:t xml:space="preserve">Juli 2022</w:t>
      </w:r>
      <w:r>
        <w:t xml:space="preserve">. Der Recheck zeigt: das 2017-Wetter ist</w:t>
      </w:r>
      <w:r>
        <w:t xml:space="preserve"> </w:t>
      </w:r>
      <w:r>
        <w:rPr>
          <w:b/>
        </w:rPr>
        <w:t xml:space="preserve">bit-identisch</w:t>
      </w:r>
      <w:r>
        <w:t xml:space="preserve"> </w:t>
      </w:r>
      <w:r>
        <w:t xml:space="preserve">zum Open-Meteo-Archiv (ERA5):</w:t>
      </w:r>
      <w:r>
        <w:t xml:space="preserve"> </w:t>
      </w:r>
      <w:r>
        <w:rPr>
          <w:rStyle w:val="VerbatimChar"/>
        </w:rPr>
        <w:t xml:space="preserve">mean_abs_diff = 0,0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max_abs_diff = 0,0</w:t>
      </w:r>
      <w:r>
        <w:t xml:space="preserve">, n = 168 je</w:t>
      </w:r>
      <w:r>
        <w:t xml:space="preserve"> </w:t>
      </w:r>
      <w:r>
        <w:t xml:space="preserve">Variable. → Es war</w:t>
      </w:r>
      <w:r>
        <w:t xml:space="preserve"> </w:t>
      </w:r>
      <w:r>
        <w:rPr>
          <w:b/>
        </w:rPr>
        <w:t xml:space="preserve">Ist-/Reanalyse-Wetter (perfect foresight) = Leakage</w:t>
      </w:r>
      <w:r>
        <w:t xml:space="preserve">.</w:t>
      </w:r>
      <w:r>
        <w:t xml:space="preserve"> </w:t>
      </w:r>
      <w:r>
        <w:rPr>
          <w:b/>
        </w:rPr>
        <w:t xml:space="preserve">Der +17,9 % ist ein</w:t>
      </w:r>
      <w:r>
        <w:rPr>
          <w:b/>
        </w:rPr>
        <w:t xml:space="preserve"> </w:t>
      </w:r>
      <w:r>
        <w:rPr>
          <w:b/>
        </w:rPr>
        <w:t xml:space="preserve">optimistischer oberer Rand, kein leakage-sicherer Forecast-Beleg.</w:t>
      </w:r>
    </w:p>
    <w:p>
      <w:pPr>
        <w:numPr>
          <w:ilvl w:val="0"/>
          <w:numId w:val="1004"/>
        </w:numPr>
      </w:pPr>
      <w:r>
        <w:rPr>
          <w:b/>
        </w:rPr>
        <w:t xml:space="preserve">T11 (50 synth. Städte) [H, von Claude verifiziert]:</w:t>
      </w:r>
      <w:r>
        <w:t xml:space="preserve"> </w:t>
      </w:r>
      <w:r>
        <w:t xml:space="preserve">echtes lokales Forecast-Wetter hebt den Skill</w:t>
      </w:r>
      <w:r>
        <w:t xml:space="preserve"> </w:t>
      </w:r>
      <w:r>
        <w:rPr>
          <w:b/>
        </w:rPr>
        <w:t xml:space="preserve">nicht</w:t>
      </w:r>
      <w:r>
        <w:t xml:space="preserve"> </w:t>
      </w:r>
      <w:r>
        <w:t xml:space="preserve">(Median −0,5 pp; positiv 11/50; signifikant 1/50). Kein Pipeline-Fehler — sondern Beleg, dass</w:t>
      </w:r>
      <w:r>
        <w:t xml:space="preserve"> </w:t>
      </w:r>
      <w:r>
        <w:t xml:space="preserve">die synthetischen Profile keine echte Wetter-Kopplung enthalten (drittes Provenienz-Signal).</w:t>
      </w:r>
    </w:p>
    <w:p>
      <w:pPr>
        <w:numPr>
          <w:ilvl w:val="0"/>
          <w:numId w:val="1004"/>
        </w:numPr>
      </w:pPr>
      <w:r>
        <w:rPr>
          <w:b/>
        </w:rPr>
        <w:t xml:space="preserve">T12 (HEAPO, echte CH-Wärmepumpen, leakage-sicher ≥ 2022-07) [H, von Claude verifiziert]:</w:t>
      </w:r>
      <w:r>
        <w:t xml:space="preserve"> </w:t>
      </w:r>
      <w:r>
        <w:t xml:space="preserve">Median-Lift</w:t>
      </w:r>
      <w:r>
        <w:t xml:space="preserve"> </w:t>
      </w:r>
      <w:r>
        <w:rPr>
          <w:b/>
        </w:rPr>
        <w:t xml:space="preserve">−0,15 pp</w:t>
      </w:r>
      <w:r>
        <w:t xml:space="preserve"> </w:t>
      </w:r>
      <w:r>
        <w:t xml:space="preserve">über 26 Aggregationsrecords; signifikant besser nur 2/26.</w:t>
      </w:r>
      <w:r>
        <w:t xml:space="preserve"> </w:t>
      </w:r>
      <w:r>
        <w:rPr>
          <w:b/>
        </w:rPr>
        <w:t xml:space="preserve">Aber:</w:t>
      </w:r>
      <w:r>
        <w:t xml:space="preserve"> </w:t>
      </w:r>
      <w:r>
        <w:t xml:space="preserve">die Wärmepumpen-</w:t>
      </w:r>
      <w:r>
        <w:t xml:space="preserve"> </w:t>
      </w:r>
      <w:r>
        <w:rPr>
          <w:b/>
        </w:rPr>
        <w:t xml:space="preserve">Einzellast</w:t>
      </w:r>
      <w:r>
        <w:t xml:space="preserve"> </w:t>
      </w:r>
      <w:r>
        <w:t xml:space="preserve">trendet leicht</w:t>
      </w:r>
      <w:r>
        <w:t xml:space="preserve"> </w:t>
      </w:r>
      <w:r>
        <w:rPr>
          <w:b/>
        </w:rPr>
        <w:t xml:space="preserve">positiv</w:t>
      </w:r>
      <w:r>
        <w:t xml:space="preserve"> </w:t>
      </w:r>
      <w:r>
        <w:t xml:space="preserve">(+0,3…+1,6 pp, plausibel: Heizstrom ∝ Temperatur). Offene</w:t>
      </w:r>
      <w:r>
        <w:t xml:space="preserve"> </w:t>
      </w:r>
      <w:r>
        <w:t xml:space="preserve">Verfeinerung (T13): per-MeteoSwiss-Station-Wetter statt einem Zürich-Punkt; zweiter echter Datensatz.</w:t>
      </w:r>
    </w:p>
    <w:p>
      <w:pPr>
        <w:numPr>
          <w:ilvl w:val="0"/>
          <w:numId w:val="1004"/>
        </w:numPr>
      </w:pPr>
      <w:r>
        <w:rPr>
          <w:b/>
        </w:rPr>
        <w:t xml:space="preserve">T13 (HEAPO per-MeteoSwiss-Station-Wetter, leakage-sicher) [H, verifiziert]:</w:t>
      </w:r>
      <w:r>
        <w:t xml:space="preserve"> </w:t>
      </w:r>
      <w:r>
        <w:t xml:space="preserve">5/8 Stationen exakt zu</w:t>
      </w:r>
      <w:r>
        <w:t xml:space="preserve"> </w:t>
      </w:r>
      <w:r>
        <w:t xml:space="preserve">MeteoSwiss gematcht (bit-identische Temperatur); Wärmepumpen-Lift steigt auf</w:t>
      </w:r>
      <w:r>
        <w:t xml:space="preserve"> </w:t>
      </w:r>
      <w:r>
        <w:rPr>
          <w:b/>
        </w:rPr>
        <w:t xml:space="preserve">+0,6 pp</w:t>
      </w:r>
      <w:r>
        <w:t xml:space="preserve"> </w:t>
      </w:r>
      <w:r>
        <w:t xml:space="preserve">(Median), bleibt</w:t>
      </w:r>
      <w:r>
        <w:t xml:space="preserve"> </w:t>
      </w:r>
      <w:r>
        <w:t xml:space="preserve">aber</w:t>
      </w:r>
      <w:r>
        <w:t xml:space="preserve"> </w:t>
      </w:r>
      <w:r>
        <w:rPr>
          <w:b/>
        </w:rPr>
        <w:t xml:space="preserve">nicht signifikant</w:t>
      </w:r>
      <w:r>
        <w:t xml:space="preserve"> </w:t>
      </w:r>
      <w:r>
        <w:t xml:space="preserve">(p=0,105; 5/23). Total-Last ~0. Per-Station schlägt den Zürich-Proxy um +0,2 pp.</w:t>
      </w:r>
      <w:r>
        <w:t xml:space="preserve"> </w:t>
      </w:r>
      <w:r>
        <w:t xml:space="preserve">(Offenbach-Zweitdatensatz: data.zip 103 GB, Download blockiert.)</w:t>
      </w:r>
    </w:p>
    <w:p>
      <w:pPr>
        <w:pStyle w:val="FirstParagraph"/>
      </w:pPr>
      <w:r>
        <w:rPr>
          <w:b/>
        </w:rPr>
        <w:t xml:space="preserve">Schluss:</w:t>
      </w:r>
      <w:r>
        <w:t xml:space="preserve"> </w:t>
      </w:r>
      <w:r>
        <w:t xml:space="preserve">Leakage-sicher ist der Wetter-Lift</w:t>
      </w:r>
      <w:r>
        <w:t xml:space="preserve"> </w:t>
      </w:r>
      <w:r>
        <w:rPr>
          <w:b/>
        </w:rPr>
        <w:t xml:space="preserve">klein (≈ 0–1 pp)</w:t>
      </w:r>
      <w:r>
        <w:t xml:space="preserve"> </w:t>
      </w:r>
      <w:r>
        <w:t xml:space="preserve">und allenfalls auf temperatur-</w:t>
      </w:r>
      <w:r>
        <w:t xml:space="preserve"> </w:t>
      </w:r>
      <w:r>
        <w:t xml:space="preserve">gekoppelter Last relevant —</w:t>
      </w:r>
      <w:r>
        <w:t xml:space="preserve"> </w:t>
      </w:r>
      <w:r>
        <w:rPr>
          <w:b/>
        </w:rPr>
        <w:t xml:space="preserve">kein Produkt-Moat</w:t>
      </w:r>
      <w:r>
        <w:t xml:space="preserve">. Der Wert von NetzPilot liegt in der Prognose-Wedge,</w:t>
      </w:r>
      <w:r>
        <w:t xml:space="preserve"> </w:t>
      </w:r>
      <w:r>
        <w:t xml:space="preserve">der Kalibrierung und der §14a-Koordination.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ehrliche-grenzen"/>
      <w:r>
        <w:t xml:space="preserve">7. Ehrliche Grenzen</w:t>
      </w:r>
      <w:bookmarkEnd w:id="33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Stadt-Daten modelliert</w:t>
      </w:r>
      <w:r>
        <w:t xml:space="preserve">, nicht gemessen (§3) → Stadt-Ergebnisse validieren die Pipeline, nicht reale</w:t>
      </w:r>
      <w:r>
        <w:t xml:space="preserve"> </w:t>
      </w:r>
      <w:r>
        <w:t xml:space="preserve">Performance.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Noch keine kundeneigenen Pilotdaten</w:t>
      </w:r>
      <w:r>
        <w:t xml:space="preserve"> </w:t>
      </w:r>
      <w:r>
        <w:t xml:space="preserve">(15-min-Lastgang, Kundensegmente) und</w:t>
      </w:r>
      <w:r>
        <w:t xml:space="preserve"> </w:t>
      </w:r>
      <w:r>
        <w:rPr>
          <w:b/>
        </w:rPr>
        <w:t xml:space="preserve">keine realen reBAP-/Bilanzkreis-</w:t>
      </w:r>
      <w:r>
        <w:rPr>
          <w:b/>
        </w:rPr>
        <w:t xml:space="preserve"> </w:t>
      </w:r>
      <w:r>
        <w:rPr>
          <w:b/>
        </w:rPr>
        <w:t xml:space="preserve">Kosten</w:t>
      </w:r>
      <w:r>
        <w:t xml:space="preserve"> </w:t>
      </w:r>
      <w:r>
        <w:t xml:space="preserve">→ Hilden/EAM belegen öffentliche echte Lastgänge, aber noch keine belastbare kundenspezifische</w:t>
      </w:r>
      <w:r>
        <w:t xml:space="preserve"> </w:t>
      </w:r>
      <w:r>
        <w:t xml:space="preserve">€-Nutzenrechnung. Euro-Werte bleiben Proxy.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Wetter-Lift</w:t>
      </w:r>
      <w:r>
        <w:t xml:space="preserve"> </w:t>
      </w:r>
      <w:r>
        <w:t xml:space="preserve">leakage-sicher klein (§6); echter Beleg braucht reale, temperaturgekoppelte 2022+-Daten.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Physikalischer PV/Wind-Pfad</w:t>
      </w:r>
      <w:r>
        <w:t xml:space="preserve"> </w:t>
      </w:r>
      <w:r>
        <w:t xml:space="preserve">ist MVP (kein echtes Anlagenregister, nur Wetterproxy + Bias-Korrektur).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Kein echtes SMGW</w:t>
      </w:r>
      <w:r>
        <w:t xml:space="preserve">; produktiv nur über zertifizierten White-Label-aEMT.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Open-Meteo-Lizenz</w:t>
      </w:r>
      <w:r>
        <w:t xml:space="preserve"> </w:t>
      </w:r>
      <w:r>
        <w:t xml:space="preserve">(kommerziell) vor Produktangebot klären.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methodik-leakage-sicher-by-design"/>
      <w:r>
        <w:t xml:space="preserve">8. Methodik (leakage-sicher by design)</w:t>
      </w:r>
      <w:bookmarkEnd w:id="34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Rolling-origin-Backtest</w:t>
      </w:r>
      <w:r>
        <w:t xml:space="preserve">, Modell sieht nie Zukunft; saisonal-naiv (</w:t>
      </w:r>
      <w:r>
        <w:rPr>
          <w:rStyle w:val="VerbatimChar"/>
        </w:rPr>
        <w:t xml:space="preserve">load(d−7)</w:t>
      </w:r>
      <w:r>
        <w:t xml:space="preserve">) als Korrekturziel.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Baselines Pflicht:</w:t>
      </w:r>
      <w:r>
        <w:t xml:space="preserve"> </w:t>
      </w:r>
      <w:r>
        <w:t xml:space="preserve">saisonal-naiv</w:t>
      </w:r>
      <w:r>
        <w:t xml:space="preserve"> </w:t>
      </w:r>
      <w:r>
        <w:rPr>
          <w:b/>
        </w:rPr>
        <w:t xml:space="preserve">und</w:t>
      </w:r>
      <w:r>
        <w:t xml:space="preserve"> </w:t>
      </w:r>
      <w:r>
        <w:t xml:space="preserve">Persistenz, immer mitberichtet.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DST-robust:</w:t>
      </w:r>
      <w:r>
        <w:t xml:space="preserve"> </w:t>
      </w:r>
      <w:r>
        <w:t xml:space="preserve">Lokaltag-Aufbereitung (</w:t>
      </w:r>
      <w:r>
        <w:rPr>
          <w:rStyle w:val="VerbatimChar"/>
        </w:rPr>
        <w:t xml:space="preserve">to_daily_local</w:t>
      </w:r>
      <w:r>
        <w:t xml:space="preserve">) statt UTC-Reshape (sonst Stundenversatz über die</w:t>
      </w:r>
      <w:r>
        <w:t xml:space="preserve"> </w:t>
      </w:r>
      <w:r>
        <w:t xml:space="preserve">Sommerzeit).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Unsicherheit:</w:t>
      </w:r>
      <w:r>
        <w:t xml:space="preserve"> </w:t>
      </w:r>
      <w:r>
        <w:t xml:space="preserve">Conformalized Quantile Regression (CQR), Coverage gemessen, nicht angenommen.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Signifikanz:</w:t>
      </w:r>
      <w:r>
        <w:t xml:space="preserve"> </w:t>
      </w:r>
      <w:r>
        <w:t xml:space="preserve">paired Block-Bootstrap, Block = ganzer Tag.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Wetter = Forecast:</w:t>
      </w:r>
      <w:r>
        <w:t xml:space="preserve"> </w:t>
      </w:r>
      <w:r>
        <w:t xml:space="preserve">Open-Meteo</w:t>
      </w:r>
      <w:r>
        <w:t xml:space="preserve"> </w:t>
      </w:r>
      <w:r>
        <w:rPr>
          <w:b/>
        </w:rPr>
        <w:t xml:space="preserve">Historical-Forecast</w:t>
      </w:r>
      <w:r>
        <w:t xml:space="preserve"> </w:t>
      </w:r>
      <w:r>
        <w:t xml:space="preserve">(Archiv ab ~2022-07); ältere Perioden sind</w:t>
      </w:r>
      <w:r>
        <w:t xml:space="preserve"> </w:t>
      </w:r>
      <w:r>
        <w:t xml:space="preserve">reanalysebasiert und werden klar als „perfect-foresight upper bound" gelabelt, nie vermischt.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reproduktion"/>
      <w:r>
        <w:t xml:space="preserve">9. Reproduktion</w:t>
      </w:r>
      <w:bookmarkEnd w:id="35"/>
    </w:p>
    <w:p>
      <w:pPr>
        <w:pStyle w:val="FirstParagraph"/>
      </w:pPr>
      <w:r>
        <w:rPr>
          <w:rStyle w:val="VerbatimChar"/>
        </w:rPr>
        <w:t xml:space="preserve">scripts/run_backtest.py</w:t>
      </w:r>
      <w:r>
        <w:t xml:space="preserve"> </w:t>
      </w:r>
      <w:r>
        <w:t xml:space="preserve">(v1) ·</w:t>
      </w:r>
      <w:r>
        <w:t xml:space="preserve"> </w:t>
      </w:r>
      <w:r>
        <w:rPr>
          <w:rStyle w:val="VerbatimChar"/>
        </w:rPr>
        <w:t xml:space="preserve">run_t8_cqr.py</w:t>
      </w:r>
      <w:r>
        <w:t xml:space="preserve"> </w:t>
      </w:r>
      <w:r>
        <w:t xml:space="preserve">(CQR national) ·</w:t>
      </w:r>
      <w:r>
        <w:t xml:space="preserve"> </w:t>
      </w:r>
      <w:r>
        <w:rPr>
          <w:rStyle w:val="VerbatimChar"/>
        </w:rPr>
        <w:t xml:space="preserve">eval_v1_significance.py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eval_t9_significance.py</w:t>
      </w:r>
      <w:r>
        <w:t xml:space="preserve"> </w:t>
      </w:r>
      <w:r>
        <w:t xml:space="preserve">(Signifikanz) ·</w:t>
      </w:r>
      <w:r>
        <w:t xml:space="preserve"> </w:t>
      </w:r>
      <w:r>
        <w:rPr>
          <w:rStyle w:val="VerbatimChar"/>
        </w:rPr>
        <w:t xml:space="preserve">run_t10_small_utility.py</w:t>
      </w:r>
      <w:r>
        <w:t xml:space="preserve"> </w:t>
      </w:r>
      <w:r>
        <w:t xml:space="preserve">(T10) ·</w:t>
      </w:r>
      <w:r>
        <w:t xml:space="preserve"> </w:t>
      </w:r>
      <w:r>
        <w:rPr>
          <w:rStyle w:val="VerbatimChar"/>
        </w:rPr>
        <w:t xml:space="preserve">run_t11_city_weather.py</w:t>
      </w:r>
      <w:r>
        <w:t xml:space="preserve"> </w:t>
      </w:r>
      <w:r>
        <w:t xml:space="preserve">(T11) ·</w:t>
      </w:r>
      <w:r>
        <w:t xml:space="preserve"> </w:t>
      </w:r>
      <w:r>
        <w:rPr>
          <w:rStyle w:val="VerbatimChar"/>
        </w:rPr>
        <w:t xml:space="preserve">run_t12_weather_lift.py</w:t>
      </w:r>
      <w:r>
        <w:t xml:space="preserve"> </w:t>
      </w:r>
      <w:r>
        <w:t xml:space="preserve">(T12 + T10-Leakage-Recheck) ·</w:t>
      </w:r>
      <w:r>
        <w:t xml:space="preserve"> </w:t>
      </w:r>
      <w:r>
        <w:rPr>
          <w:rStyle w:val="VerbatimChar"/>
        </w:rPr>
        <w:t xml:space="preserve">eval_cities_all_load.py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eval_cities_all_residual.py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eval_cities_all_cqr.py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eval_cities_significance.py</w:t>
      </w:r>
      <w:r>
        <w:t xml:space="preserve"> </w:t>
      </w:r>
      <w:r>
        <w:t xml:space="preserve">(50-Städte) ·</w:t>
      </w:r>
      <w:r>
        <w:t xml:space="preserve"> </w:t>
      </w:r>
      <w:r>
        <w:rPr>
          <w:rStyle w:val="VerbatimChar"/>
        </w:rPr>
        <w:t xml:space="preserve">pilot_in_a_box.py</w:t>
      </w:r>
      <w:r>
        <w:t xml:space="preserve"> </w:t>
      </w:r>
      <w:r>
        <w:t xml:space="preserve">(T14 echte öffentliche Lastgänge) ·</w:t>
      </w:r>
      <w:r>
        <w:t xml:space="preserve"> </w:t>
      </w:r>
      <w:r>
        <w:rPr>
          <w:rStyle w:val="VerbatimChar"/>
        </w:rPr>
        <w:t xml:space="preserve">demo_control_loop.py</w:t>
      </w:r>
      <w:r>
        <w:t xml:space="preserve"> </w:t>
      </w:r>
      <w:r>
        <w:t xml:space="preserve">(§14a). Detailbefunde:</w:t>
      </w:r>
      <w:r>
        <w:t xml:space="preserve"> </w:t>
      </w:r>
      <w:r>
        <w:rPr>
          <w:rStyle w:val="VerbatimChar"/>
        </w:rPr>
        <w:t xml:space="preserve">Notizen/_cities_finding.md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Notizen/_t10_weather_leakage_check.md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Notizen/_t12_verification.md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nächste-schritte"/>
      <w:r>
        <w:t xml:space="preserve">10. Nächste Schritte</w:t>
      </w:r>
      <w:bookmarkEnd w:id="36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Kundeneigene Pilotdaten</w:t>
      </w:r>
      <w:r>
        <w:t xml:space="preserve"> </w:t>
      </w:r>
      <w:r>
        <w:t xml:space="preserve">priorisieren (15-min-Last, Erzeugung, Kundensegmente, reale reBAP-Kosten) —</w:t>
      </w:r>
      <w:r>
        <w:t xml:space="preserve"> </w:t>
      </w:r>
      <w:r>
        <w:t xml:space="preserve">Hilden zeigt: auf echten öffentlichen Stadtwerk-Daten funktioniert die Wedge; der eigentliche Engpass ist</w:t>
      </w:r>
      <w:r>
        <w:t xml:space="preserve"> </w:t>
      </w:r>
      <w:r>
        <w:t xml:space="preserve">jetzt die kundenspezifische Nutzenrechnung.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Outreach mit Hilden-Netzumsatz-Headline</w:t>
      </w:r>
      <w:r>
        <w:t xml:space="preserve"> </w:t>
      </w:r>
      <w:r>
        <w:t xml:space="preserve">starten: 4,36 % MAPE und +16,5 % vs. saisonal-naiv auf</w:t>
      </w:r>
      <w:r>
        <w:t xml:space="preserve"> </w:t>
      </w:r>
      <w:r>
        <w:t xml:space="preserve">echtem gemessenem Netzdurchsatz, plus ehrliches Caveat (Durchsatz-/Restprofil statt kompletter RLM-Netzlast).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Erzeugungsmodell</w:t>
      </w:r>
      <w:r>
        <w:t xml:space="preserve"> </w:t>
      </w:r>
      <w:r>
        <w:t xml:space="preserve">schärfen (regionale Kapazitäten, mehrere Wetterpunkte).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§14a</w:t>
      </w:r>
      <w:r>
        <w:t xml:space="preserve"> </w:t>
      </w:r>
      <w:r>
        <w:t xml:space="preserve">produktiv über zertifizierten White-Label-aEMT anbinden.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quellen-datensätze"/>
      <w:r>
        <w:t xml:space="preserve">11. Quellen / Datensätze</w:t>
      </w:r>
      <w:bookmarkEnd w:id="37"/>
    </w:p>
    <w:p>
      <w:pPr>
        <w:pStyle w:val="FirstParagraph"/>
      </w:pPr>
      <w:r>
        <w:t xml:space="preserve">SMARD (ÜNB-Netzlast, PV/Wind) · Open-Meteo Historical-Forecast (Archiv ab ~2022-07) ·</w:t>
      </w:r>
      <w:r>
        <w:t xml:space="preserve"> </w:t>
      </w:r>
      <w:r>
        <w:t xml:space="preserve">OPSD Household Data / CoSSMic Konstanz (</w:t>
      </w:r>
      <w:r>
        <w:rPr>
          <w:rStyle w:val="VerbatimChar"/>
        </w:rPr>
        <w:t xml:space="preserve">data.open-power-system-data.org/household_data/</w:t>
      </w:r>
      <w:r>
        <w:t xml:space="preserve">) ·</w:t>
      </w:r>
      <w:r>
        <w:t xml:space="preserve"> </w:t>
      </w:r>
      <w:r>
        <w:t xml:space="preserve">HEAPO (Zenodo 10.5281/zenodo.15056919, arXiv 2503.16993) · §14a EnWG / BSI TR-03109-5.</w:t>
      </w:r>
      <w:r>
        <w:t xml:space="preserve"> </w:t>
      </w:r>
      <w:r>
        <w:t xml:space="preserve">Stadtwerke Hilden Veröffentlichungspflichten Strom (SLP-Summenlast, Netzumsatz, DBA 2025) ·</w:t>
      </w:r>
      <w:r>
        <w:t xml:space="preserve"> </w:t>
      </w:r>
      <w:r>
        <w:t xml:space="preserve">EAM Netz Veröffentlichungspflichten Strom / §12 Abs. 3 StromNZV (Differenzbilanzierung BG1-BG3 2024).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NetzPilot - Ergebnisbericht</dc:title>
  <dc:creator/>
  <cp:keywords/>
  <dcterms:created xsi:type="dcterms:W3CDTF">2026-05-31T09:01:50Z</dcterms:created>
  <dcterms:modified xsi:type="dcterms:W3CDTF">2026-05-31T09:01:50Z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