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4F85" w14:textId="77777777" w:rsidR="003225CA" w:rsidRPr="004178D6" w:rsidRDefault="003225CA" w:rsidP="00EF7085">
      <w:pPr>
        <w:jc w:val="center"/>
        <w:rPr>
          <w:rFonts w:ascii="Times New Roman" w:hAnsi="Times New Roman" w:cs="Times New Roman"/>
          <w:color w:val="153D63" w:themeColor="text2" w:themeTint="E6"/>
          <w:sz w:val="48"/>
          <w:szCs w:val="48"/>
        </w:rPr>
      </w:pPr>
    </w:p>
    <w:p w14:paraId="215A940B" w14:textId="192AB33E" w:rsidR="001A66DB" w:rsidRPr="004178D6" w:rsidRDefault="00E6138E" w:rsidP="001A66DB">
      <w:pPr>
        <w:jc w:val="center"/>
        <w:rPr>
          <w:rFonts w:ascii="Times New Roman" w:hAnsi="Times New Roman" w:cs="Times New Roman"/>
          <w:color w:val="153D63" w:themeColor="text2" w:themeTint="E6"/>
          <w:sz w:val="48"/>
          <w:szCs w:val="48"/>
        </w:rPr>
      </w:pPr>
      <w:r w:rsidRPr="004178D6">
        <w:rPr>
          <w:rFonts w:ascii="Times New Roman" w:hAnsi="Times New Roman" w:cs="Times New Roman"/>
          <w:color w:val="153D63" w:themeColor="text2" w:themeTint="E6"/>
          <w:sz w:val="48"/>
          <w:szCs w:val="48"/>
        </w:rPr>
        <w:t>Veille réglementaire et technologique</w:t>
      </w:r>
    </w:p>
    <w:p w14:paraId="5369F409" w14:textId="77777777" w:rsidR="00EF7085" w:rsidRPr="004178D6" w:rsidRDefault="00EF7085" w:rsidP="005771D9">
      <w:pPr>
        <w:rPr>
          <w:rFonts w:ascii="Times New Roman" w:hAnsi="Times New Roman" w:cs="Times New Roman"/>
        </w:rPr>
      </w:pPr>
    </w:p>
    <w:p w14:paraId="4F67D01A" w14:textId="77777777" w:rsidR="00EF7085" w:rsidRPr="004178D6" w:rsidRDefault="00EF7085" w:rsidP="005771D9">
      <w:pPr>
        <w:rPr>
          <w:rFonts w:ascii="Times New Roman" w:hAnsi="Times New Roman" w:cs="Times New Roman"/>
        </w:rPr>
      </w:pPr>
    </w:p>
    <w:p w14:paraId="2A2203DD" w14:textId="09A2D6D1" w:rsidR="005771D9" w:rsidRPr="004178D6" w:rsidRDefault="00EF7085" w:rsidP="00EF7085">
      <w:pPr>
        <w:jc w:val="center"/>
        <w:rPr>
          <w:rFonts w:ascii="Times New Roman" w:hAnsi="Times New Roman" w:cs="Times New Roman"/>
        </w:rPr>
      </w:pPr>
      <w:r w:rsidRPr="004178D6">
        <w:rPr>
          <w:rFonts w:ascii="Times New Roman" w:hAnsi="Times New Roman" w:cs="Times New Roman"/>
          <w:noProof/>
        </w:rPr>
        <w:drawing>
          <wp:inline distT="0" distB="0" distL="0" distR="0" wp14:anchorId="3D9C52C3" wp14:editId="3143677D">
            <wp:extent cx="3161764" cy="954297"/>
            <wp:effectExtent l="0" t="0" r="635" b="0"/>
            <wp:docPr id="6714193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5F313E56" w14:textId="77777777" w:rsidR="005771D9" w:rsidRPr="004178D6" w:rsidRDefault="005771D9" w:rsidP="005771D9">
      <w:pPr>
        <w:rPr>
          <w:rFonts w:ascii="Times New Roman" w:hAnsi="Times New Roman" w:cs="Times New Roman"/>
        </w:rPr>
      </w:pPr>
    </w:p>
    <w:p w14:paraId="2D8107C8" w14:textId="77777777" w:rsidR="00EF7085" w:rsidRPr="004178D6" w:rsidRDefault="00EF7085" w:rsidP="005771D9">
      <w:pPr>
        <w:rPr>
          <w:rFonts w:ascii="Times New Roman" w:hAnsi="Times New Roman" w:cs="Times New Roman"/>
        </w:rPr>
      </w:pPr>
    </w:p>
    <w:p w14:paraId="0928B043" w14:textId="77777777" w:rsidR="00EF7085" w:rsidRPr="004178D6" w:rsidRDefault="00EF7085" w:rsidP="005771D9">
      <w:pPr>
        <w:rPr>
          <w:rFonts w:ascii="Times New Roman" w:hAnsi="Times New Roman" w:cs="Times New Roman"/>
        </w:rPr>
      </w:pPr>
    </w:p>
    <w:p w14:paraId="5E4AB1FE" w14:textId="77777777" w:rsidR="00EF7085" w:rsidRPr="004178D6" w:rsidRDefault="00EF7085" w:rsidP="005771D9">
      <w:pPr>
        <w:rPr>
          <w:rFonts w:ascii="Times New Roman" w:hAnsi="Times New Roman" w:cs="Times New Roman"/>
        </w:rPr>
      </w:pPr>
    </w:p>
    <w:p w14:paraId="48A6994F" w14:textId="77777777" w:rsidR="00EF7085" w:rsidRPr="004178D6" w:rsidRDefault="00EF7085" w:rsidP="005771D9">
      <w:pPr>
        <w:rPr>
          <w:rFonts w:ascii="Times New Roman" w:hAnsi="Times New Roman" w:cs="Times New Roman"/>
        </w:rPr>
      </w:pPr>
    </w:p>
    <w:p w14:paraId="4E9D8990" w14:textId="77777777" w:rsidR="00EF7085" w:rsidRPr="004178D6" w:rsidRDefault="00EF7085" w:rsidP="005771D9">
      <w:pPr>
        <w:rPr>
          <w:rFonts w:ascii="Times New Roman" w:hAnsi="Times New Roman" w:cs="Times New Roman"/>
        </w:rPr>
      </w:pPr>
    </w:p>
    <w:p w14:paraId="5195F2A6" w14:textId="77777777" w:rsidR="00EF7085" w:rsidRPr="004178D6" w:rsidRDefault="00EF7085" w:rsidP="005771D9">
      <w:pPr>
        <w:rPr>
          <w:rFonts w:ascii="Times New Roman" w:hAnsi="Times New Roman" w:cs="Times New Roman"/>
        </w:rPr>
      </w:pPr>
    </w:p>
    <w:p w14:paraId="649C5085" w14:textId="77777777" w:rsidR="00EF7085" w:rsidRPr="004178D6" w:rsidRDefault="00EF7085" w:rsidP="005771D9">
      <w:pPr>
        <w:rPr>
          <w:rFonts w:ascii="Times New Roman" w:hAnsi="Times New Roman" w:cs="Times New Roman"/>
        </w:rPr>
      </w:pPr>
    </w:p>
    <w:p w14:paraId="6EBD56E2" w14:textId="77777777" w:rsidR="00EF7085" w:rsidRPr="004178D6" w:rsidRDefault="00EF7085" w:rsidP="005771D9">
      <w:pPr>
        <w:rPr>
          <w:rFonts w:ascii="Times New Roman" w:hAnsi="Times New Roman" w:cs="Times New Roman"/>
        </w:rPr>
      </w:pPr>
    </w:p>
    <w:p w14:paraId="51263CF4" w14:textId="77777777" w:rsidR="00EF7085" w:rsidRPr="004178D6" w:rsidRDefault="00EF7085" w:rsidP="005771D9">
      <w:pPr>
        <w:rPr>
          <w:rFonts w:ascii="Times New Roman" w:hAnsi="Times New Roman" w:cs="Times New Roman"/>
        </w:rPr>
      </w:pPr>
    </w:p>
    <w:p w14:paraId="0708DF65" w14:textId="77777777" w:rsidR="00EF7085" w:rsidRPr="004178D6" w:rsidRDefault="00EF7085" w:rsidP="005771D9">
      <w:pPr>
        <w:rPr>
          <w:rFonts w:ascii="Times New Roman" w:hAnsi="Times New Roman" w:cs="Times New Roman"/>
        </w:rPr>
      </w:pPr>
    </w:p>
    <w:p w14:paraId="08ADE262" w14:textId="77777777" w:rsidR="00EF7085" w:rsidRPr="004178D6" w:rsidRDefault="00EF7085" w:rsidP="005771D9">
      <w:pPr>
        <w:rPr>
          <w:rFonts w:ascii="Times New Roman" w:hAnsi="Times New Roman" w:cs="Times New Roman"/>
        </w:rPr>
      </w:pPr>
    </w:p>
    <w:p w14:paraId="5531A1A0" w14:textId="77777777" w:rsidR="00EF7085" w:rsidRPr="004178D6" w:rsidRDefault="00EF7085" w:rsidP="005771D9">
      <w:pPr>
        <w:rPr>
          <w:rFonts w:ascii="Times New Roman" w:hAnsi="Times New Roman" w:cs="Times New Roman"/>
        </w:rPr>
      </w:pPr>
    </w:p>
    <w:p w14:paraId="1488331D" w14:textId="77777777" w:rsidR="00EF7085" w:rsidRPr="004178D6" w:rsidRDefault="00EF7085" w:rsidP="005771D9">
      <w:pPr>
        <w:rPr>
          <w:rFonts w:ascii="Times New Roman" w:hAnsi="Times New Roman" w:cs="Times New Roman"/>
        </w:rPr>
      </w:pPr>
    </w:p>
    <w:p w14:paraId="1A6762D1" w14:textId="77777777" w:rsidR="00A910FA" w:rsidRPr="004178D6" w:rsidRDefault="00A910FA" w:rsidP="005771D9">
      <w:pPr>
        <w:rPr>
          <w:rFonts w:ascii="Times New Roman" w:hAnsi="Times New Roman" w:cs="Times New Roman"/>
        </w:rPr>
      </w:pPr>
    </w:p>
    <w:p w14:paraId="5F876232" w14:textId="77777777" w:rsidR="00C84C83" w:rsidRPr="004178D6" w:rsidRDefault="00C84C83" w:rsidP="005771D9">
      <w:pPr>
        <w:rPr>
          <w:rFonts w:ascii="Times New Roman" w:hAnsi="Times New Roman" w:cs="Times New Roman"/>
        </w:rPr>
      </w:pPr>
    </w:p>
    <w:p w14:paraId="09C04CA8" w14:textId="77777777" w:rsidR="00E6138E" w:rsidRPr="004178D6" w:rsidRDefault="00C84C83" w:rsidP="005771D9">
      <w:pPr>
        <w:rPr>
          <w:rFonts w:ascii="Times New Roman" w:hAnsi="Times New Roman" w:cs="Times New Roman"/>
          <w:sz w:val="36"/>
          <w:szCs w:val="36"/>
        </w:rPr>
      </w:pPr>
      <w:r w:rsidRPr="004178D6">
        <w:rPr>
          <w:rFonts w:ascii="Times New Roman" w:hAnsi="Times New Roman" w:cs="Times New Roman"/>
          <w:sz w:val="36"/>
          <w:szCs w:val="36"/>
        </w:rPr>
        <w:t xml:space="preserve">Projet : </w:t>
      </w:r>
      <w:r w:rsidR="00E6138E" w:rsidRPr="004178D6">
        <w:rPr>
          <w:rFonts w:ascii="Times New Roman" w:hAnsi="Times New Roman" w:cs="Times New Roman"/>
          <w:sz w:val="36"/>
          <w:szCs w:val="36"/>
        </w:rPr>
        <w:t xml:space="preserve">Amazon Review Analysis </w:t>
      </w:r>
    </w:p>
    <w:p w14:paraId="4104FA38" w14:textId="74C3DBA5" w:rsidR="00EF7085" w:rsidRPr="004178D6" w:rsidRDefault="00EF7085" w:rsidP="005771D9">
      <w:pPr>
        <w:rPr>
          <w:rFonts w:ascii="Times New Roman" w:hAnsi="Times New Roman" w:cs="Times New Roman"/>
          <w:sz w:val="36"/>
          <w:szCs w:val="36"/>
        </w:rPr>
      </w:pPr>
      <w:r w:rsidRPr="004178D6">
        <w:rPr>
          <w:rFonts w:ascii="Times New Roman" w:hAnsi="Times New Roman" w:cs="Times New Roman"/>
          <w:sz w:val="36"/>
          <w:szCs w:val="36"/>
        </w:rPr>
        <w:t xml:space="preserve">Auteur : </w:t>
      </w:r>
      <w:r w:rsidR="00802037">
        <w:rPr>
          <w:rFonts w:ascii="Times New Roman" w:hAnsi="Times New Roman" w:cs="Times New Roman"/>
          <w:sz w:val="36"/>
          <w:szCs w:val="36"/>
        </w:rPr>
        <w:t>Amara NAIT SAIDI</w:t>
      </w:r>
    </w:p>
    <w:p w14:paraId="2C135BB7" w14:textId="75E97DB4" w:rsidR="00EF7085" w:rsidRPr="004178D6" w:rsidRDefault="00EF7085" w:rsidP="005771D9">
      <w:pPr>
        <w:rPr>
          <w:rFonts w:ascii="Times New Roman" w:hAnsi="Times New Roman" w:cs="Times New Roman"/>
          <w:sz w:val="36"/>
          <w:szCs w:val="36"/>
        </w:rPr>
      </w:pPr>
      <w:r w:rsidRPr="004178D6">
        <w:rPr>
          <w:rFonts w:ascii="Times New Roman" w:hAnsi="Times New Roman" w:cs="Times New Roman"/>
          <w:sz w:val="36"/>
          <w:szCs w:val="36"/>
        </w:rPr>
        <w:t>Date </w:t>
      </w:r>
      <w:r w:rsidR="00303BC0" w:rsidRPr="004178D6">
        <w:rPr>
          <w:rFonts w:ascii="Times New Roman" w:hAnsi="Times New Roman" w:cs="Times New Roman"/>
          <w:sz w:val="36"/>
          <w:szCs w:val="36"/>
        </w:rPr>
        <w:t xml:space="preserve">création </w:t>
      </w:r>
      <w:r w:rsidRPr="004178D6">
        <w:rPr>
          <w:rFonts w:ascii="Times New Roman" w:hAnsi="Times New Roman" w:cs="Times New Roman"/>
          <w:sz w:val="36"/>
          <w:szCs w:val="36"/>
        </w:rPr>
        <w:t xml:space="preserve">: </w:t>
      </w:r>
      <w:r w:rsidR="00D434B8" w:rsidRPr="004178D6">
        <w:rPr>
          <w:rFonts w:ascii="Times New Roman" w:hAnsi="Times New Roman" w:cs="Times New Roman"/>
          <w:sz w:val="36"/>
          <w:szCs w:val="36"/>
        </w:rPr>
        <w:t>21</w:t>
      </w:r>
      <w:r w:rsidRPr="004178D6">
        <w:rPr>
          <w:rFonts w:ascii="Times New Roman" w:hAnsi="Times New Roman" w:cs="Times New Roman"/>
          <w:sz w:val="36"/>
          <w:szCs w:val="36"/>
        </w:rPr>
        <w:t xml:space="preserve"> octobre 2025</w:t>
      </w:r>
    </w:p>
    <w:p w14:paraId="132C59C6" w14:textId="792DCB82" w:rsidR="00303BC0" w:rsidRPr="004178D6" w:rsidRDefault="00303BC0" w:rsidP="005771D9">
      <w:pPr>
        <w:rPr>
          <w:rFonts w:ascii="Times New Roman" w:hAnsi="Times New Roman" w:cs="Times New Roman"/>
          <w:sz w:val="36"/>
          <w:szCs w:val="36"/>
        </w:rPr>
      </w:pPr>
      <w:r w:rsidRPr="004178D6">
        <w:rPr>
          <w:rFonts w:ascii="Times New Roman" w:hAnsi="Times New Roman" w:cs="Times New Roman"/>
          <w:sz w:val="36"/>
          <w:szCs w:val="36"/>
        </w:rPr>
        <w:t>Mise à jour : novembre 2025</w:t>
      </w:r>
    </w:p>
    <w:p w14:paraId="4423C644" w14:textId="42AAA178" w:rsidR="004138CD" w:rsidRPr="004178D6" w:rsidRDefault="00EF7085" w:rsidP="005771D9">
      <w:pPr>
        <w:rPr>
          <w:rFonts w:ascii="Times New Roman" w:hAnsi="Times New Roman" w:cs="Times New Roman"/>
          <w:sz w:val="36"/>
          <w:szCs w:val="36"/>
        </w:rPr>
      </w:pPr>
      <w:r w:rsidRPr="004178D6">
        <w:rPr>
          <w:rFonts w:ascii="Times New Roman" w:hAnsi="Times New Roman" w:cs="Times New Roman"/>
          <w:sz w:val="36"/>
          <w:szCs w:val="36"/>
        </w:rPr>
        <w:t>Version 1.0</w:t>
      </w:r>
    </w:p>
    <w:p w14:paraId="7B6FA3D8" w14:textId="6A09A69B" w:rsidR="00EF7085" w:rsidRPr="004178D6" w:rsidRDefault="00EF7085" w:rsidP="00E6138E">
      <w:pPr>
        <w:jc w:val="center"/>
        <w:rPr>
          <w:rFonts w:ascii="Times New Roman" w:hAnsi="Times New Roman" w:cs="Times New Roman"/>
          <w:color w:val="153D63" w:themeColor="text2" w:themeTint="E6"/>
          <w:sz w:val="32"/>
          <w:szCs w:val="32"/>
        </w:rPr>
      </w:pPr>
      <w:r w:rsidRPr="004178D6">
        <w:rPr>
          <w:rFonts w:ascii="Times New Roman" w:hAnsi="Times New Roman" w:cs="Times New Roman"/>
          <w:color w:val="153D63" w:themeColor="text2" w:themeTint="E6"/>
          <w:sz w:val="32"/>
          <w:szCs w:val="32"/>
        </w:rPr>
        <w:lastRenderedPageBreak/>
        <w:t>A propos de ce document</w:t>
      </w:r>
    </w:p>
    <w:p w14:paraId="28070B14" w14:textId="3C3041BF" w:rsidR="00EF7085" w:rsidRPr="004178D6" w:rsidRDefault="004178D6" w:rsidP="00EF7085">
      <w:pPr>
        <w:rPr>
          <w:rFonts w:ascii="Times New Roman" w:hAnsi="Times New Roman" w:cs="Times New Roman"/>
        </w:rPr>
      </w:pPr>
      <w:r w:rsidRPr="004178D6">
        <w:rPr>
          <w:rFonts w:ascii="Times New Roman" w:hAnsi="Times New Roman" w:cs="Times New Roman"/>
          <w:sz w:val="24"/>
          <w:szCs w:val="24"/>
        </w:rPr>
        <w:t>Ce document s’inscrit dans le cadre du projet d’analyse et de valorisation des avis clients.</w:t>
      </w:r>
      <w:r w:rsidRPr="004178D6">
        <w:rPr>
          <w:rFonts w:ascii="Times New Roman" w:hAnsi="Times New Roman" w:cs="Times New Roman"/>
          <w:sz w:val="24"/>
          <w:szCs w:val="24"/>
        </w:rPr>
        <w:br/>
        <w:t>L’objectif de cette veille est d’identifier les technologies cloud, Big Data et réglementaires les plus récentes afin de garantir un traitement des données efficace, conforme et responsable.</w:t>
      </w:r>
      <w:r w:rsidRPr="004178D6">
        <w:rPr>
          <w:rFonts w:ascii="Times New Roman" w:hAnsi="Times New Roman" w:cs="Times New Roman"/>
          <w:sz w:val="24"/>
          <w:szCs w:val="24"/>
        </w:rPr>
        <w:br/>
        <w:t>Elle permet de suivre les innovations (Snowflake, dbt, AWS, Databricks…) et d’anticiper les impacts réglementaires (RGPD, AI Act, CCPA) sur la collecte, le stockage et l’analyse des avis clients.</w:t>
      </w:r>
      <w:r w:rsidRPr="004178D6">
        <w:rPr>
          <w:rFonts w:ascii="Times New Roman" w:hAnsi="Times New Roman" w:cs="Times New Roman"/>
          <w:sz w:val="24"/>
          <w:szCs w:val="24"/>
        </w:rPr>
        <w:br/>
        <w:t>Enfin, cette veille contribue à orienter les choix techniques vers des solutions durables et éthiques, en cohérence avec les principes de RSE et d’IA responsable.</w:t>
      </w:r>
    </w:p>
    <w:p w14:paraId="1FA6B5DF" w14:textId="77777777" w:rsidR="00EF7085" w:rsidRPr="004178D6" w:rsidRDefault="00EF7085" w:rsidP="00EF7085">
      <w:pPr>
        <w:rPr>
          <w:rFonts w:ascii="Times New Roman" w:hAnsi="Times New Roman" w:cs="Times New Roman"/>
        </w:rPr>
      </w:pPr>
    </w:p>
    <w:p w14:paraId="4DA29B85" w14:textId="77777777" w:rsidR="00EF7085" w:rsidRPr="004178D6" w:rsidRDefault="00EF7085" w:rsidP="00EF7085">
      <w:pPr>
        <w:rPr>
          <w:rFonts w:ascii="Times New Roman" w:hAnsi="Times New Roman" w:cs="Times New Roman"/>
        </w:rPr>
      </w:pPr>
    </w:p>
    <w:p w14:paraId="793F1147" w14:textId="77777777" w:rsidR="00EF7085" w:rsidRPr="004178D6" w:rsidRDefault="00EF7085" w:rsidP="00EF7085">
      <w:pPr>
        <w:rPr>
          <w:rFonts w:ascii="Times New Roman" w:hAnsi="Times New Roman" w:cs="Times New Roman"/>
        </w:rPr>
      </w:pPr>
    </w:p>
    <w:p w14:paraId="664615CC" w14:textId="77777777" w:rsidR="00EF7085" w:rsidRPr="004178D6" w:rsidRDefault="00EF7085" w:rsidP="00EF7085">
      <w:pPr>
        <w:rPr>
          <w:rFonts w:ascii="Times New Roman" w:hAnsi="Times New Roman" w:cs="Times New Roman"/>
        </w:rPr>
      </w:pPr>
    </w:p>
    <w:p w14:paraId="21803687" w14:textId="77777777" w:rsidR="00EF7085" w:rsidRPr="004178D6" w:rsidRDefault="00EF7085" w:rsidP="00EF7085">
      <w:pPr>
        <w:rPr>
          <w:rFonts w:ascii="Times New Roman" w:hAnsi="Times New Roman" w:cs="Times New Roman"/>
        </w:rPr>
      </w:pPr>
    </w:p>
    <w:p w14:paraId="1D96C694" w14:textId="77777777" w:rsidR="00EF7085" w:rsidRPr="004178D6" w:rsidRDefault="00EF7085" w:rsidP="00EF7085">
      <w:pPr>
        <w:rPr>
          <w:rFonts w:ascii="Times New Roman" w:hAnsi="Times New Roman" w:cs="Times New Roman"/>
        </w:rPr>
      </w:pPr>
    </w:p>
    <w:p w14:paraId="6D4C45F0" w14:textId="77777777" w:rsidR="00EF7085" w:rsidRPr="004178D6" w:rsidRDefault="00EF7085" w:rsidP="00EF7085">
      <w:pPr>
        <w:rPr>
          <w:rFonts w:ascii="Times New Roman" w:hAnsi="Times New Roman" w:cs="Times New Roman"/>
        </w:rPr>
      </w:pPr>
    </w:p>
    <w:p w14:paraId="59C7A87E" w14:textId="77777777" w:rsidR="00EF7085" w:rsidRPr="004178D6" w:rsidRDefault="00EF7085" w:rsidP="00EF7085">
      <w:pPr>
        <w:rPr>
          <w:rFonts w:ascii="Times New Roman" w:hAnsi="Times New Roman" w:cs="Times New Roman"/>
        </w:rPr>
      </w:pPr>
    </w:p>
    <w:p w14:paraId="4C2F4313" w14:textId="77777777" w:rsidR="00EF7085" w:rsidRPr="004178D6" w:rsidRDefault="00EF7085" w:rsidP="00EF7085">
      <w:pPr>
        <w:rPr>
          <w:rFonts w:ascii="Times New Roman" w:hAnsi="Times New Roman" w:cs="Times New Roman"/>
        </w:rPr>
      </w:pPr>
    </w:p>
    <w:p w14:paraId="77852810" w14:textId="77777777" w:rsidR="00EF7085" w:rsidRPr="004178D6" w:rsidRDefault="00EF7085" w:rsidP="00EF7085">
      <w:pPr>
        <w:rPr>
          <w:rFonts w:ascii="Times New Roman" w:hAnsi="Times New Roman" w:cs="Times New Roman"/>
        </w:rPr>
      </w:pPr>
    </w:p>
    <w:p w14:paraId="34DB5846" w14:textId="77777777" w:rsidR="00EF7085" w:rsidRPr="004178D6" w:rsidRDefault="00EF7085" w:rsidP="00EF7085">
      <w:pPr>
        <w:rPr>
          <w:rFonts w:ascii="Times New Roman" w:hAnsi="Times New Roman" w:cs="Times New Roman"/>
        </w:rPr>
      </w:pPr>
    </w:p>
    <w:p w14:paraId="02EAED63" w14:textId="77777777" w:rsidR="00EF7085" w:rsidRPr="004178D6" w:rsidRDefault="00EF7085" w:rsidP="00EF7085">
      <w:pPr>
        <w:rPr>
          <w:rFonts w:ascii="Times New Roman" w:hAnsi="Times New Roman" w:cs="Times New Roman"/>
        </w:rPr>
      </w:pPr>
    </w:p>
    <w:p w14:paraId="19407676" w14:textId="77777777" w:rsidR="00EF7085" w:rsidRPr="004178D6" w:rsidRDefault="00EF7085" w:rsidP="00EF7085">
      <w:pPr>
        <w:rPr>
          <w:rFonts w:ascii="Times New Roman" w:hAnsi="Times New Roman" w:cs="Times New Roman"/>
        </w:rPr>
      </w:pPr>
    </w:p>
    <w:p w14:paraId="6CA922D2" w14:textId="77777777" w:rsidR="00EF7085" w:rsidRPr="004178D6" w:rsidRDefault="00EF7085" w:rsidP="00EF7085">
      <w:pPr>
        <w:rPr>
          <w:rFonts w:ascii="Times New Roman" w:hAnsi="Times New Roman" w:cs="Times New Roman"/>
        </w:rPr>
      </w:pPr>
    </w:p>
    <w:p w14:paraId="1C2BD514" w14:textId="77777777" w:rsidR="00EF7085" w:rsidRPr="004178D6" w:rsidRDefault="00EF7085" w:rsidP="00EF7085">
      <w:pPr>
        <w:rPr>
          <w:rFonts w:ascii="Times New Roman" w:hAnsi="Times New Roman" w:cs="Times New Roman"/>
        </w:rPr>
      </w:pPr>
    </w:p>
    <w:p w14:paraId="2C7534DB" w14:textId="77777777" w:rsidR="00EF7085" w:rsidRPr="004178D6" w:rsidRDefault="00EF7085" w:rsidP="00EF7085">
      <w:pPr>
        <w:rPr>
          <w:rFonts w:ascii="Times New Roman" w:hAnsi="Times New Roman" w:cs="Times New Roman"/>
        </w:rPr>
      </w:pPr>
    </w:p>
    <w:p w14:paraId="7DAFEB86" w14:textId="77777777" w:rsidR="00EF7085" w:rsidRPr="004178D6" w:rsidRDefault="00EF7085" w:rsidP="00EF7085">
      <w:pPr>
        <w:rPr>
          <w:rFonts w:ascii="Times New Roman" w:hAnsi="Times New Roman" w:cs="Times New Roman"/>
        </w:rPr>
      </w:pPr>
    </w:p>
    <w:p w14:paraId="44B80C30" w14:textId="77777777" w:rsidR="00EF7085" w:rsidRPr="004178D6" w:rsidRDefault="00EF7085" w:rsidP="00EF7085">
      <w:pPr>
        <w:rPr>
          <w:rFonts w:ascii="Times New Roman" w:hAnsi="Times New Roman" w:cs="Times New Roman"/>
        </w:rPr>
      </w:pPr>
    </w:p>
    <w:p w14:paraId="36DFE3A0" w14:textId="77777777" w:rsidR="00EF7085" w:rsidRPr="004178D6" w:rsidRDefault="00EF7085" w:rsidP="00EF7085">
      <w:pPr>
        <w:rPr>
          <w:rFonts w:ascii="Times New Roman" w:hAnsi="Times New Roman" w:cs="Times New Roman"/>
        </w:rPr>
      </w:pPr>
    </w:p>
    <w:p w14:paraId="6541FDDF" w14:textId="77777777" w:rsidR="00EF7085" w:rsidRPr="004178D6" w:rsidRDefault="00EF7085" w:rsidP="00EF7085">
      <w:pPr>
        <w:rPr>
          <w:rFonts w:ascii="Times New Roman" w:hAnsi="Times New Roman" w:cs="Times New Roman"/>
        </w:rPr>
      </w:pPr>
    </w:p>
    <w:p w14:paraId="6D397D1E" w14:textId="77777777" w:rsidR="00D55DF8" w:rsidRPr="004178D6" w:rsidRDefault="00D55DF8" w:rsidP="00EF7085">
      <w:pPr>
        <w:rPr>
          <w:rFonts w:ascii="Times New Roman" w:hAnsi="Times New Roman" w:cs="Times New Roman"/>
        </w:rPr>
      </w:pPr>
    </w:p>
    <w:p w14:paraId="55173115" w14:textId="77777777" w:rsidR="00EF7085" w:rsidRPr="004178D6" w:rsidRDefault="00EF7085" w:rsidP="00EF7085">
      <w:pPr>
        <w:rPr>
          <w:rFonts w:ascii="Times New Roman" w:hAnsi="Times New Roman" w:cs="Times New Roman"/>
        </w:rPr>
      </w:pPr>
    </w:p>
    <w:p w14:paraId="768DF778" w14:textId="77777777" w:rsidR="00A910FA" w:rsidRPr="004178D6" w:rsidRDefault="00A910FA" w:rsidP="00EF7085">
      <w:pPr>
        <w:rPr>
          <w:rFonts w:ascii="Times New Roman" w:hAnsi="Times New Roman" w:cs="Times New Roman"/>
        </w:rPr>
      </w:pPr>
    </w:p>
    <w:p w14:paraId="3D5DD7D3" w14:textId="77777777" w:rsidR="00A910FA" w:rsidRPr="004178D6" w:rsidRDefault="00A910FA" w:rsidP="00EF7085">
      <w:pPr>
        <w:rPr>
          <w:rFonts w:ascii="Times New Roman" w:hAnsi="Times New Roman" w:cs="Times New Roman"/>
        </w:rPr>
      </w:pPr>
    </w:p>
    <w:p w14:paraId="7F962337" w14:textId="77777777" w:rsidR="00A910FA" w:rsidRPr="004178D6" w:rsidRDefault="00A910FA" w:rsidP="00EF7085">
      <w:pPr>
        <w:rPr>
          <w:rFonts w:ascii="Times New Roman" w:hAnsi="Times New Roman" w:cs="Times New Roman"/>
        </w:rPr>
      </w:pPr>
    </w:p>
    <w:p w14:paraId="3B5316D7" w14:textId="77777777" w:rsidR="00A910FA" w:rsidRPr="004178D6" w:rsidRDefault="00A910FA" w:rsidP="00EF7085">
      <w:pPr>
        <w:rPr>
          <w:rFonts w:ascii="Times New Roman" w:hAnsi="Times New Roman" w:cs="Times New Roman"/>
        </w:rPr>
      </w:pPr>
    </w:p>
    <w:sdt>
      <w:sdtPr>
        <w:rPr>
          <w:rFonts w:asciiTheme="minorHAnsi" w:eastAsiaTheme="minorHAnsi" w:hAnsiTheme="minorHAnsi" w:cstheme="minorBidi"/>
          <w:color w:val="auto"/>
          <w:kern w:val="2"/>
          <w:sz w:val="22"/>
          <w:szCs w:val="22"/>
          <w:lang w:eastAsia="en-US"/>
          <w14:ligatures w14:val="standardContextual"/>
        </w:rPr>
        <w:id w:val="-1464728080"/>
        <w:docPartObj>
          <w:docPartGallery w:val="Table of Contents"/>
          <w:docPartUnique/>
        </w:docPartObj>
      </w:sdtPr>
      <w:sdtEndPr>
        <w:rPr>
          <w:b/>
          <w:bCs/>
        </w:rPr>
      </w:sdtEndPr>
      <w:sdtContent>
        <w:p w14:paraId="6CDEF260" w14:textId="07A54B69" w:rsidR="0062041C" w:rsidRDefault="0062041C">
          <w:pPr>
            <w:pStyle w:val="En-ttedetabledesmatires"/>
          </w:pPr>
          <w:r>
            <w:t>Table des matières</w:t>
          </w:r>
        </w:p>
        <w:p w14:paraId="084C48E0" w14:textId="23010D44" w:rsidR="0062041C" w:rsidRDefault="0062041C">
          <w:pPr>
            <w:pStyle w:val="TM1"/>
            <w:tabs>
              <w:tab w:val="left" w:pos="44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5843449" w:history="1">
            <w:r w:rsidRPr="00DE3101">
              <w:rPr>
                <w:rStyle w:val="Lienhypertexte"/>
                <w:rFonts w:ascii="Times New Roman" w:hAnsi="Times New Roman" w:cs="Times New Roman"/>
                <w:noProof/>
              </w:rPr>
              <w:t>1.</w:t>
            </w:r>
            <w:r>
              <w:rPr>
                <w:rFonts w:eastAsiaTheme="minorEastAsia"/>
                <w:noProof/>
                <w:sz w:val="24"/>
                <w:szCs w:val="24"/>
                <w:lang w:eastAsia="fr-FR"/>
              </w:rPr>
              <w:tab/>
            </w:r>
            <w:r w:rsidRPr="00DE3101">
              <w:rPr>
                <w:rStyle w:val="Lienhypertexte"/>
                <w:rFonts w:ascii="Times New Roman" w:hAnsi="Times New Roman" w:cs="Times New Roman"/>
                <w:noProof/>
              </w:rPr>
              <w:t>Objectif du dispositif de veille technologique</w:t>
            </w:r>
            <w:r>
              <w:rPr>
                <w:noProof/>
                <w:webHidden/>
              </w:rPr>
              <w:tab/>
            </w:r>
            <w:r>
              <w:rPr>
                <w:noProof/>
                <w:webHidden/>
              </w:rPr>
              <w:fldChar w:fldCharType="begin"/>
            </w:r>
            <w:r>
              <w:rPr>
                <w:noProof/>
                <w:webHidden/>
              </w:rPr>
              <w:instrText xml:space="preserve"> PAGEREF _Toc215843449 \h </w:instrText>
            </w:r>
            <w:r>
              <w:rPr>
                <w:noProof/>
                <w:webHidden/>
              </w:rPr>
            </w:r>
            <w:r>
              <w:rPr>
                <w:noProof/>
                <w:webHidden/>
              </w:rPr>
              <w:fldChar w:fldCharType="separate"/>
            </w:r>
            <w:r w:rsidR="00802037">
              <w:rPr>
                <w:noProof/>
                <w:webHidden/>
              </w:rPr>
              <w:t>4</w:t>
            </w:r>
            <w:r>
              <w:rPr>
                <w:noProof/>
                <w:webHidden/>
              </w:rPr>
              <w:fldChar w:fldCharType="end"/>
            </w:r>
          </w:hyperlink>
        </w:p>
        <w:p w14:paraId="71947145" w14:textId="6186B7B4" w:rsidR="0062041C" w:rsidRDefault="0062041C">
          <w:pPr>
            <w:pStyle w:val="TM1"/>
            <w:tabs>
              <w:tab w:val="left" w:pos="440"/>
              <w:tab w:val="right" w:leader="dot" w:pos="9062"/>
            </w:tabs>
            <w:rPr>
              <w:rFonts w:eastAsiaTheme="minorEastAsia"/>
              <w:noProof/>
              <w:sz w:val="24"/>
              <w:szCs w:val="24"/>
              <w:lang w:eastAsia="fr-FR"/>
            </w:rPr>
          </w:pPr>
          <w:hyperlink w:anchor="_Toc215843450" w:history="1">
            <w:r w:rsidRPr="00DE3101">
              <w:rPr>
                <w:rStyle w:val="Lienhypertexte"/>
                <w:rFonts w:ascii="Times New Roman" w:hAnsi="Times New Roman" w:cs="Times New Roman"/>
                <w:noProof/>
              </w:rPr>
              <w:t>2.</w:t>
            </w:r>
            <w:r>
              <w:rPr>
                <w:rFonts w:eastAsiaTheme="minorEastAsia"/>
                <w:noProof/>
                <w:sz w:val="24"/>
                <w:szCs w:val="24"/>
                <w:lang w:eastAsia="fr-FR"/>
              </w:rPr>
              <w:tab/>
            </w:r>
            <w:r w:rsidRPr="00DE3101">
              <w:rPr>
                <w:rStyle w:val="Lienhypertexte"/>
                <w:rFonts w:ascii="Times New Roman" w:hAnsi="Times New Roman" w:cs="Times New Roman"/>
                <w:noProof/>
              </w:rPr>
              <w:t>Méthodologie de veille</w:t>
            </w:r>
            <w:r>
              <w:rPr>
                <w:noProof/>
                <w:webHidden/>
              </w:rPr>
              <w:tab/>
            </w:r>
            <w:r>
              <w:rPr>
                <w:noProof/>
                <w:webHidden/>
              </w:rPr>
              <w:fldChar w:fldCharType="begin"/>
            </w:r>
            <w:r>
              <w:rPr>
                <w:noProof/>
                <w:webHidden/>
              </w:rPr>
              <w:instrText xml:space="preserve"> PAGEREF _Toc215843450 \h </w:instrText>
            </w:r>
            <w:r>
              <w:rPr>
                <w:noProof/>
                <w:webHidden/>
              </w:rPr>
            </w:r>
            <w:r>
              <w:rPr>
                <w:noProof/>
                <w:webHidden/>
              </w:rPr>
              <w:fldChar w:fldCharType="separate"/>
            </w:r>
            <w:r w:rsidR="00802037">
              <w:rPr>
                <w:noProof/>
                <w:webHidden/>
              </w:rPr>
              <w:t>4</w:t>
            </w:r>
            <w:r>
              <w:rPr>
                <w:noProof/>
                <w:webHidden/>
              </w:rPr>
              <w:fldChar w:fldCharType="end"/>
            </w:r>
          </w:hyperlink>
        </w:p>
        <w:p w14:paraId="66CA513C" w14:textId="74FEE53D" w:rsidR="0062041C" w:rsidRDefault="0062041C">
          <w:pPr>
            <w:pStyle w:val="TM2"/>
            <w:tabs>
              <w:tab w:val="left" w:pos="960"/>
              <w:tab w:val="right" w:leader="dot" w:pos="9062"/>
            </w:tabs>
            <w:rPr>
              <w:rFonts w:eastAsiaTheme="minorEastAsia"/>
              <w:noProof/>
              <w:sz w:val="24"/>
              <w:szCs w:val="24"/>
              <w:lang w:eastAsia="fr-FR"/>
            </w:rPr>
          </w:pPr>
          <w:hyperlink w:anchor="_Toc215843451" w:history="1">
            <w:r w:rsidRPr="00DE3101">
              <w:rPr>
                <w:rStyle w:val="Lienhypertexte"/>
                <w:rFonts w:ascii="Times New Roman" w:hAnsi="Times New Roman" w:cs="Times New Roman"/>
                <w:noProof/>
              </w:rPr>
              <w:t>2.1.</w:t>
            </w:r>
            <w:r>
              <w:rPr>
                <w:rFonts w:eastAsiaTheme="minorEastAsia"/>
                <w:noProof/>
                <w:sz w:val="24"/>
                <w:szCs w:val="24"/>
                <w:lang w:eastAsia="fr-FR"/>
              </w:rPr>
              <w:tab/>
            </w:r>
            <w:r w:rsidRPr="00DE3101">
              <w:rPr>
                <w:rStyle w:val="Lienhypertexte"/>
                <w:rFonts w:ascii="Times New Roman" w:hAnsi="Times New Roman" w:cs="Times New Roman"/>
                <w:noProof/>
              </w:rPr>
              <w:t>Définitions d’une veille statique et veille dynamique</w:t>
            </w:r>
            <w:r>
              <w:rPr>
                <w:noProof/>
                <w:webHidden/>
              </w:rPr>
              <w:tab/>
            </w:r>
            <w:r>
              <w:rPr>
                <w:noProof/>
                <w:webHidden/>
              </w:rPr>
              <w:fldChar w:fldCharType="begin"/>
            </w:r>
            <w:r>
              <w:rPr>
                <w:noProof/>
                <w:webHidden/>
              </w:rPr>
              <w:instrText xml:space="preserve"> PAGEREF _Toc215843451 \h </w:instrText>
            </w:r>
            <w:r>
              <w:rPr>
                <w:noProof/>
                <w:webHidden/>
              </w:rPr>
            </w:r>
            <w:r>
              <w:rPr>
                <w:noProof/>
                <w:webHidden/>
              </w:rPr>
              <w:fldChar w:fldCharType="separate"/>
            </w:r>
            <w:r w:rsidR="00802037">
              <w:rPr>
                <w:noProof/>
                <w:webHidden/>
              </w:rPr>
              <w:t>4</w:t>
            </w:r>
            <w:r>
              <w:rPr>
                <w:noProof/>
                <w:webHidden/>
              </w:rPr>
              <w:fldChar w:fldCharType="end"/>
            </w:r>
          </w:hyperlink>
        </w:p>
        <w:p w14:paraId="7A9B5DA9" w14:textId="1ED68362" w:rsidR="0062041C" w:rsidRDefault="0062041C">
          <w:pPr>
            <w:pStyle w:val="TM2"/>
            <w:tabs>
              <w:tab w:val="left" w:pos="960"/>
              <w:tab w:val="right" w:leader="dot" w:pos="9062"/>
            </w:tabs>
            <w:rPr>
              <w:rFonts w:eastAsiaTheme="minorEastAsia"/>
              <w:noProof/>
              <w:sz w:val="24"/>
              <w:szCs w:val="24"/>
              <w:lang w:eastAsia="fr-FR"/>
            </w:rPr>
          </w:pPr>
          <w:hyperlink w:anchor="_Toc215843452" w:history="1">
            <w:r w:rsidRPr="00DE3101">
              <w:rPr>
                <w:rStyle w:val="Lienhypertexte"/>
                <w:rFonts w:ascii="Times New Roman" w:hAnsi="Times New Roman" w:cs="Times New Roman"/>
                <w:noProof/>
              </w:rPr>
              <w:t>2.2.</w:t>
            </w:r>
            <w:r>
              <w:rPr>
                <w:rFonts w:eastAsiaTheme="minorEastAsia"/>
                <w:noProof/>
                <w:sz w:val="24"/>
                <w:szCs w:val="24"/>
                <w:lang w:eastAsia="fr-FR"/>
              </w:rPr>
              <w:tab/>
            </w:r>
            <w:r w:rsidRPr="00DE3101">
              <w:rPr>
                <w:rStyle w:val="Lienhypertexte"/>
                <w:rFonts w:ascii="Times New Roman" w:hAnsi="Times New Roman" w:cs="Times New Roman"/>
                <w:noProof/>
              </w:rPr>
              <w:t>Choix méthodologique : veille statique</w:t>
            </w:r>
            <w:r>
              <w:rPr>
                <w:noProof/>
                <w:webHidden/>
              </w:rPr>
              <w:tab/>
            </w:r>
            <w:r>
              <w:rPr>
                <w:noProof/>
                <w:webHidden/>
              </w:rPr>
              <w:fldChar w:fldCharType="begin"/>
            </w:r>
            <w:r>
              <w:rPr>
                <w:noProof/>
                <w:webHidden/>
              </w:rPr>
              <w:instrText xml:space="preserve"> PAGEREF _Toc215843452 \h </w:instrText>
            </w:r>
            <w:r>
              <w:rPr>
                <w:noProof/>
                <w:webHidden/>
              </w:rPr>
            </w:r>
            <w:r>
              <w:rPr>
                <w:noProof/>
                <w:webHidden/>
              </w:rPr>
              <w:fldChar w:fldCharType="separate"/>
            </w:r>
            <w:r w:rsidR="00802037">
              <w:rPr>
                <w:noProof/>
                <w:webHidden/>
              </w:rPr>
              <w:t>4</w:t>
            </w:r>
            <w:r>
              <w:rPr>
                <w:noProof/>
                <w:webHidden/>
              </w:rPr>
              <w:fldChar w:fldCharType="end"/>
            </w:r>
          </w:hyperlink>
        </w:p>
        <w:p w14:paraId="356507B1" w14:textId="597944AD" w:rsidR="0062041C" w:rsidRDefault="0062041C">
          <w:pPr>
            <w:pStyle w:val="TM1"/>
            <w:tabs>
              <w:tab w:val="left" w:pos="440"/>
              <w:tab w:val="right" w:leader="dot" w:pos="9062"/>
            </w:tabs>
            <w:rPr>
              <w:rFonts w:eastAsiaTheme="minorEastAsia"/>
              <w:noProof/>
              <w:sz w:val="24"/>
              <w:szCs w:val="24"/>
              <w:lang w:eastAsia="fr-FR"/>
            </w:rPr>
          </w:pPr>
          <w:hyperlink w:anchor="_Toc215843453" w:history="1">
            <w:r w:rsidRPr="00DE3101">
              <w:rPr>
                <w:rStyle w:val="Lienhypertexte"/>
                <w:rFonts w:ascii="Times New Roman" w:hAnsi="Times New Roman" w:cs="Times New Roman"/>
                <w:noProof/>
              </w:rPr>
              <w:t>3.</w:t>
            </w:r>
            <w:r>
              <w:rPr>
                <w:rFonts w:eastAsiaTheme="minorEastAsia"/>
                <w:noProof/>
                <w:sz w:val="24"/>
                <w:szCs w:val="24"/>
                <w:lang w:eastAsia="fr-FR"/>
              </w:rPr>
              <w:tab/>
            </w:r>
            <w:r w:rsidRPr="00DE3101">
              <w:rPr>
                <w:rStyle w:val="Lienhypertexte"/>
                <w:rFonts w:ascii="Times New Roman" w:hAnsi="Times New Roman" w:cs="Times New Roman"/>
                <w:noProof/>
              </w:rPr>
              <w:t>Synthèse de la veille technologique et réglementaire</w:t>
            </w:r>
            <w:r>
              <w:rPr>
                <w:noProof/>
                <w:webHidden/>
              </w:rPr>
              <w:tab/>
            </w:r>
            <w:r>
              <w:rPr>
                <w:noProof/>
                <w:webHidden/>
              </w:rPr>
              <w:fldChar w:fldCharType="begin"/>
            </w:r>
            <w:r>
              <w:rPr>
                <w:noProof/>
                <w:webHidden/>
              </w:rPr>
              <w:instrText xml:space="preserve"> PAGEREF _Toc215843453 \h </w:instrText>
            </w:r>
            <w:r>
              <w:rPr>
                <w:noProof/>
                <w:webHidden/>
              </w:rPr>
            </w:r>
            <w:r>
              <w:rPr>
                <w:noProof/>
                <w:webHidden/>
              </w:rPr>
              <w:fldChar w:fldCharType="separate"/>
            </w:r>
            <w:r w:rsidR="00802037">
              <w:rPr>
                <w:noProof/>
                <w:webHidden/>
              </w:rPr>
              <w:t>6</w:t>
            </w:r>
            <w:r>
              <w:rPr>
                <w:noProof/>
                <w:webHidden/>
              </w:rPr>
              <w:fldChar w:fldCharType="end"/>
            </w:r>
          </w:hyperlink>
        </w:p>
        <w:p w14:paraId="7FE4EF55" w14:textId="3C310D70" w:rsidR="0062041C" w:rsidRDefault="0062041C">
          <w:pPr>
            <w:pStyle w:val="TM2"/>
            <w:tabs>
              <w:tab w:val="left" w:pos="960"/>
              <w:tab w:val="right" w:leader="dot" w:pos="9062"/>
            </w:tabs>
            <w:rPr>
              <w:rFonts w:eastAsiaTheme="minorEastAsia"/>
              <w:noProof/>
              <w:sz w:val="24"/>
              <w:szCs w:val="24"/>
              <w:lang w:eastAsia="fr-FR"/>
            </w:rPr>
          </w:pPr>
          <w:hyperlink w:anchor="_Toc215843454" w:history="1">
            <w:r w:rsidRPr="00DE3101">
              <w:rPr>
                <w:rStyle w:val="Lienhypertexte"/>
                <w:rFonts w:ascii="Times New Roman" w:hAnsi="Times New Roman" w:cs="Times New Roman"/>
                <w:noProof/>
              </w:rPr>
              <w:t>3.1.</w:t>
            </w:r>
            <w:r>
              <w:rPr>
                <w:rFonts w:eastAsiaTheme="minorEastAsia"/>
                <w:noProof/>
                <w:sz w:val="24"/>
                <w:szCs w:val="24"/>
                <w:lang w:eastAsia="fr-FR"/>
              </w:rPr>
              <w:tab/>
            </w:r>
            <w:r w:rsidRPr="00DE3101">
              <w:rPr>
                <w:rStyle w:val="Lienhypertexte"/>
                <w:rFonts w:ascii="Times New Roman" w:hAnsi="Times New Roman" w:cs="Times New Roman"/>
                <w:noProof/>
              </w:rPr>
              <w:t>Les tendances observées</w:t>
            </w:r>
            <w:r>
              <w:rPr>
                <w:noProof/>
                <w:webHidden/>
              </w:rPr>
              <w:tab/>
            </w:r>
            <w:r>
              <w:rPr>
                <w:noProof/>
                <w:webHidden/>
              </w:rPr>
              <w:fldChar w:fldCharType="begin"/>
            </w:r>
            <w:r>
              <w:rPr>
                <w:noProof/>
                <w:webHidden/>
              </w:rPr>
              <w:instrText xml:space="preserve"> PAGEREF _Toc215843454 \h </w:instrText>
            </w:r>
            <w:r>
              <w:rPr>
                <w:noProof/>
                <w:webHidden/>
              </w:rPr>
            </w:r>
            <w:r>
              <w:rPr>
                <w:noProof/>
                <w:webHidden/>
              </w:rPr>
              <w:fldChar w:fldCharType="separate"/>
            </w:r>
            <w:r w:rsidR="00802037">
              <w:rPr>
                <w:noProof/>
                <w:webHidden/>
              </w:rPr>
              <w:t>6</w:t>
            </w:r>
            <w:r>
              <w:rPr>
                <w:noProof/>
                <w:webHidden/>
              </w:rPr>
              <w:fldChar w:fldCharType="end"/>
            </w:r>
          </w:hyperlink>
        </w:p>
        <w:p w14:paraId="0CBE8E83" w14:textId="07ED51A2" w:rsidR="0062041C" w:rsidRDefault="0062041C">
          <w:pPr>
            <w:pStyle w:val="TM1"/>
            <w:tabs>
              <w:tab w:val="left" w:pos="440"/>
              <w:tab w:val="right" w:leader="dot" w:pos="9062"/>
            </w:tabs>
            <w:rPr>
              <w:rFonts w:eastAsiaTheme="minorEastAsia"/>
              <w:noProof/>
              <w:sz w:val="24"/>
              <w:szCs w:val="24"/>
              <w:lang w:eastAsia="fr-FR"/>
            </w:rPr>
          </w:pPr>
          <w:hyperlink w:anchor="_Toc215843455" w:history="1">
            <w:r w:rsidRPr="00DE3101">
              <w:rPr>
                <w:rStyle w:val="Lienhypertexte"/>
                <w:rFonts w:ascii="Times New Roman" w:hAnsi="Times New Roman" w:cs="Times New Roman"/>
                <w:noProof/>
              </w:rPr>
              <w:t>4.</w:t>
            </w:r>
            <w:r>
              <w:rPr>
                <w:rFonts w:eastAsiaTheme="minorEastAsia"/>
                <w:noProof/>
                <w:sz w:val="24"/>
                <w:szCs w:val="24"/>
                <w:lang w:eastAsia="fr-FR"/>
              </w:rPr>
              <w:tab/>
            </w:r>
            <w:r w:rsidRPr="00DE3101">
              <w:rPr>
                <w:rStyle w:val="Lienhypertexte"/>
                <w:rFonts w:ascii="Times New Roman" w:hAnsi="Times New Roman" w:cs="Times New Roman"/>
                <w:noProof/>
              </w:rPr>
              <w:t>Méthode professionnelle de partage</w:t>
            </w:r>
            <w:r>
              <w:rPr>
                <w:noProof/>
                <w:webHidden/>
              </w:rPr>
              <w:tab/>
            </w:r>
            <w:r>
              <w:rPr>
                <w:noProof/>
                <w:webHidden/>
              </w:rPr>
              <w:fldChar w:fldCharType="begin"/>
            </w:r>
            <w:r>
              <w:rPr>
                <w:noProof/>
                <w:webHidden/>
              </w:rPr>
              <w:instrText xml:space="preserve"> PAGEREF _Toc215843455 \h </w:instrText>
            </w:r>
            <w:r>
              <w:rPr>
                <w:noProof/>
                <w:webHidden/>
              </w:rPr>
            </w:r>
            <w:r>
              <w:rPr>
                <w:noProof/>
                <w:webHidden/>
              </w:rPr>
              <w:fldChar w:fldCharType="separate"/>
            </w:r>
            <w:r w:rsidR="00802037">
              <w:rPr>
                <w:noProof/>
                <w:webHidden/>
              </w:rPr>
              <w:t>9</w:t>
            </w:r>
            <w:r>
              <w:rPr>
                <w:noProof/>
                <w:webHidden/>
              </w:rPr>
              <w:fldChar w:fldCharType="end"/>
            </w:r>
          </w:hyperlink>
        </w:p>
        <w:p w14:paraId="056DEA2C" w14:textId="4F86ED0D" w:rsidR="0062041C" w:rsidRDefault="0062041C">
          <w:pPr>
            <w:pStyle w:val="TM2"/>
            <w:tabs>
              <w:tab w:val="left" w:pos="960"/>
              <w:tab w:val="right" w:leader="dot" w:pos="9062"/>
            </w:tabs>
            <w:rPr>
              <w:rFonts w:eastAsiaTheme="minorEastAsia"/>
              <w:noProof/>
              <w:sz w:val="24"/>
              <w:szCs w:val="24"/>
              <w:lang w:eastAsia="fr-FR"/>
            </w:rPr>
          </w:pPr>
          <w:hyperlink w:anchor="_Toc215843456" w:history="1">
            <w:r w:rsidRPr="00DE3101">
              <w:rPr>
                <w:rStyle w:val="Lienhypertexte"/>
                <w:rFonts w:ascii="Times New Roman" w:hAnsi="Times New Roman" w:cs="Times New Roman"/>
                <w:noProof/>
              </w:rPr>
              <w:t>4.1.</w:t>
            </w:r>
            <w:r>
              <w:rPr>
                <w:rFonts w:eastAsiaTheme="minorEastAsia"/>
                <w:noProof/>
                <w:sz w:val="24"/>
                <w:szCs w:val="24"/>
                <w:lang w:eastAsia="fr-FR"/>
              </w:rPr>
              <w:tab/>
            </w:r>
            <w:r w:rsidRPr="00DE3101">
              <w:rPr>
                <w:rStyle w:val="Lienhypertexte"/>
                <w:rFonts w:ascii="Times New Roman" w:hAnsi="Times New Roman" w:cs="Times New Roman"/>
                <w:noProof/>
              </w:rPr>
              <w:t>Outils utilisés pour le partage de cette veille statique</w:t>
            </w:r>
            <w:r>
              <w:rPr>
                <w:noProof/>
                <w:webHidden/>
              </w:rPr>
              <w:tab/>
            </w:r>
            <w:r>
              <w:rPr>
                <w:noProof/>
                <w:webHidden/>
              </w:rPr>
              <w:fldChar w:fldCharType="begin"/>
            </w:r>
            <w:r>
              <w:rPr>
                <w:noProof/>
                <w:webHidden/>
              </w:rPr>
              <w:instrText xml:space="preserve"> PAGEREF _Toc215843456 \h </w:instrText>
            </w:r>
            <w:r>
              <w:rPr>
                <w:noProof/>
                <w:webHidden/>
              </w:rPr>
            </w:r>
            <w:r>
              <w:rPr>
                <w:noProof/>
                <w:webHidden/>
              </w:rPr>
              <w:fldChar w:fldCharType="separate"/>
            </w:r>
            <w:r w:rsidR="00802037">
              <w:rPr>
                <w:noProof/>
                <w:webHidden/>
              </w:rPr>
              <w:t>9</w:t>
            </w:r>
            <w:r>
              <w:rPr>
                <w:noProof/>
                <w:webHidden/>
              </w:rPr>
              <w:fldChar w:fldCharType="end"/>
            </w:r>
          </w:hyperlink>
        </w:p>
        <w:p w14:paraId="64BD3E66" w14:textId="056B37B1" w:rsidR="0062041C" w:rsidRDefault="0062041C">
          <w:pPr>
            <w:pStyle w:val="TM2"/>
            <w:tabs>
              <w:tab w:val="left" w:pos="960"/>
              <w:tab w:val="right" w:leader="dot" w:pos="9062"/>
            </w:tabs>
            <w:rPr>
              <w:rFonts w:eastAsiaTheme="minorEastAsia"/>
              <w:noProof/>
              <w:sz w:val="24"/>
              <w:szCs w:val="24"/>
              <w:lang w:eastAsia="fr-FR"/>
            </w:rPr>
          </w:pPr>
          <w:hyperlink w:anchor="_Toc215843457" w:history="1">
            <w:r w:rsidRPr="00DE3101">
              <w:rPr>
                <w:rStyle w:val="Lienhypertexte"/>
                <w:rFonts w:ascii="Times New Roman" w:hAnsi="Times New Roman" w:cs="Times New Roman"/>
                <w:noProof/>
              </w:rPr>
              <w:t>4.2.</w:t>
            </w:r>
            <w:r>
              <w:rPr>
                <w:rFonts w:eastAsiaTheme="minorEastAsia"/>
                <w:noProof/>
                <w:sz w:val="24"/>
                <w:szCs w:val="24"/>
                <w:lang w:eastAsia="fr-FR"/>
              </w:rPr>
              <w:tab/>
            </w:r>
            <w:r w:rsidRPr="00DE3101">
              <w:rPr>
                <w:rStyle w:val="Lienhypertexte"/>
                <w:rFonts w:ascii="Times New Roman" w:hAnsi="Times New Roman" w:cs="Times New Roman"/>
                <w:noProof/>
              </w:rPr>
              <w:t>Outils recommandés pour une future veille dynamique</w:t>
            </w:r>
            <w:r>
              <w:rPr>
                <w:noProof/>
                <w:webHidden/>
              </w:rPr>
              <w:tab/>
            </w:r>
            <w:r>
              <w:rPr>
                <w:noProof/>
                <w:webHidden/>
              </w:rPr>
              <w:fldChar w:fldCharType="begin"/>
            </w:r>
            <w:r>
              <w:rPr>
                <w:noProof/>
                <w:webHidden/>
              </w:rPr>
              <w:instrText xml:space="preserve"> PAGEREF _Toc215843457 \h </w:instrText>
            </w:r>
            <w:r>
              <w:rPr>
                <w:noProof/>
                <w:webHidden/>
              </w:rPr>
            </w:r>
            <w:r>
              <w:rPr>
                <w:noProof/>
                <w:webHidden/>
              </w:rPr>
              <w:fldChar w:fldCharType="separate"/>
            </w:r>
            <w:r w:rsidR="00802037">
              <w:rPr>
                <w:noProof/>
                <w:webHidden/>
              </w:rPr>
              <w:t>10</w:t>
            </w:r>
            <w:r>
              <w:rPr>
                <w:noProof/>
                <w:webHidden/>
              </w:rPr>
              <w:fldChar w:fldCharType="end"/>
            </w:r>
          </w:hyperlink>
        </w:p>
        <w:p w14:paraId="4B0FB388" w14:textId="3C9E087C" w:rsidR="0062041C" w:rsidRDefault="0062041C">
          <w:pPr>
            <w:pStyle w:val="TM1"/>
            <w:tabs>
              <w:tab w:val="left" w:pos="440"/>
              <w:tab w:val="right" w:leader="dot" w:pos="9062"/>
            </w:tabs>
            <w:rPr>
              <w:rFonts w:eastAsiaTheme="minorEastAsia"/>
              <w:noProof/>
              <w:sz w:val="24"/>
              <w:szCs w:val="24"/>
              <w:lang w:eastAsia="fr-FR"/>
            </w:rPr>
          </w:pPr>
          <w:hyperlink w:anchor="_Toc215843458" w:history="1">
            <w:r w:rsidRPr="00DE3101">
              <w:rPr>
                <w:rStyle w:val="Lienhypertexte"/>
                <w:rFonts w:ascii="Times New Roman" w:hAnsi="Times New Roman" w:cs="Times New Roman"/>
                <w:noProof/>
              </w:rPr>
              <w:t>5.</w:t>
            </w:r>
            <w:r>
              <w:rPr>
                <w:rFonts w:eastAsiaTheme="minorEastAsia"/>
                <w:noProof/>
                <w:sz w:val="24"/>
                <w:szCs w:val="24"/>
                <w:lang w:eastAsia="fr-FR"/>
              </w:rPr>
              <w:tab/>
            </w:r>
            <w:r w:rsidRPr="00DE3101">
              <w:rPr>
                <w:rStyle w:val="Lienhypertexte"/>
                <w:rFonts w:ascii="Times New Roman" w:hAnsi="Times New Roman" w:cs="Times New Roman"/>
                <w:noProof/>
              </w:rPr>
              <w:t>Synthèse des résultats de la veille</w:t>
            </w:r>
            <w:r>
              <w:rPr>
                <w:noProof/>
                <w:webHidden/>
              </w:rPr>
              <w:tab/>
            </w:r>
            <w:r>
              <w:rPr>
                <w:noProof/>
                <w:webHidden/>
              </w:rPr>
              <w:fldChar w:fldCharType="begin"/>
            </w:r>
            <w:r>
              <w:rPr>
                <w:noProof/>
                <w:webHidden/>
              </w:rPr>
              <w:instrText xml:space="preserve"> PAGEREF _Toc215843458 \h </w:instrText>
            </w:r>
            <w:r>
              <w:rPr>
                <w:noProof/>
                <w:webHidden/>
              </w:rPr>
            </w:r>
            <w:r>
              <w:rPr>
                <w:noProof/>
                <w:webHidden/>
              </w:rPr>
              <w:fldChar w:fldCharType="separate"/>
            </w:r>
            <w:r w:rsidR="00802037">
              <w:rPr>
                <w:noProof/>
                <w:webHidden/>
              </w:rPr>
              <w:t>10</w:t>
            </w:r>
            <w:r>
              <w:rPr>
                <w:noProof/>
                <w:webHidden/>
              </w:rPr>
              <w:fldChar w:fldCharType="end"/>
            </w:r>
          </w:hyperlink>
        </w:p>
        <w:p w14:paraId="34675880" w14:textId="58973A6A" w:rsidR="0062041C" w:rsidRDefault="0062041C">
          <w:pPr>
            <w:pStyle w:val="TM2"/>
            <w:tabs>
              <w:tab w:val="left" w:pos="960"/>
              <w:tab w:val="right" w:leader="dot" w:pos="9062"/>
            </w:tabs>
            <w:rPr>
              <w:rFonts w:eastAsiaTheme="minorEastAsia"/>
              <w:noProof/>
              <w:sz w:val="24"/>
              <w:szCs w:val="24"/>
              <w:lang w:eastAsia="fr-FR"/>
            </w:rPr>
          </w:pPr>
          <w:hyperlink w:anchor="_Toc215843459" w:history="1">
            <w:r w:rsidRPr="00DE3101">
              <w:rPr>
                <w:rStyle w:val="Lienhypertexte"/>
                <w:rFonts w:ascii="Times New Roman" w:hAnsi="Times New Roman" w:cs="Times New Roman"/>
                <w:noProof/>
              </w:rPr>
              <w:t>5.1.</w:t>
            </w:r>
            <w:r>
              <w:rPr>
                <w:rFonts w:eastAsiaTheme="minorEastAsia"/>
                <w:noProof/>
                <w:sz w:val="24"/>
                <w:szCs w:val="24"/>
                <w:lang w:eastAsia="fr-FR"/>
              </w:rPr>
              <w:tab/>
            </w:r>
            <w:r w:rsidRPr="00DE3101">
              <w:rPr>
                <w:rStyle w:val="Lienhypertexte"/>
                <w:rFonts w:ascii="Times New Roman" w:hAnsi="Times New Roman" w:cs="Times New Roman"/>
                <w:noProof/>
              </w:rPr>
              <w:t>Cloud et data platform</w:t>
            </w:r>
            <w:r>
              <w:rPr>
                <w:noProof/>
                <w:webHidden/>
              </w:rPr>
              <w:tab/>
            </w:r>
            <w:r>
              <w:rPr>
                <w:noProof/>
                <w:webHidden/>
              </w:rPr>
              <w:fldChar w:fldCharType="begin"/>
            </w:r>
            <w:r>
              <w:rPr>
                <w:noProof/>
                <w:webHidden/>
              </w:rPr>
              <w:instrText xml:space="preserve"> PAGEREF _Toc215843459 \h </w:instrText>
            </w:r>
            <w:r>
              <w:rPr>
                <w:noProof/>
                <w:webHidden/>
              </w:rPr>
            </w:r>
            <w:r>
              <w:rPr>
                <w:noProof/>
                <w:webHidden/>
              </w:rPr>
              <w:fldChar w:fldCharType="separate"/>
            </w:r>
            <w:r w:rsidR="00802037">
              <w:rPr>
                <w:noProof/>
                <w:webHidden/>
              </w:rPr>
              <w:t>10</w:t>
            </w:r>
            <w:r>
              <w:rPr>
                <w:noProof/>
                <w:webHidden/>
              </w:rPr>
              <w:fldChar w:fldCharType="end"/>
            </w:r>
          </w:hyperlink>
        </w:p>
        <w:p w14:paraId="7BBAF625" w14:textId="37848A04" w:rsidR="0062041C" w:rsidRDefault="0062041C">
          <w:pPr>
            <w:pStyle w:val="TM2"/>
            <w:tabs>
              <w:tab w:val="left" w:pos="960"/>
              <w:tab w:val="right" w:leader="dot" w:pos="9062"/>
            </w:tabs>
            <w:rPr>
              <w:rFonts w:eastAsiaTheme="minorEastAsia"/>
              <w:noProof/>
              <w:sz w:val="24"/>
              <w:szCs w:val="24"/>
              <w:lang w:eastAsia="fr-FR"/>
            </w:rPr>
          </w:pPr>
          <w:hyperlink w:anchor="_Toc215843460" w:history="1">
            <w:r w:rsidRPr="00DE3101">
              <w:rPr>
                <w:rStyle w:val="Lienhypertexte"/>
                <w:rFonts w:ascii="Times New Roman" w:hAnsi="Times New Roman" w:cs="Times New Roman"/>
                <w:noProof/>
              </w:rPr>
              <w:t>5.2.</w:t>
            </w:r>
            <w:r>
              <w:rPr>
                <w:rFonts w:eastAsiaTheme="minorEastAsia"/>
                <w:noProof/>
                <w:sz w:val="24"/>
                <w:szCs w:val="24"/>
                <w:lang w:eastAsia="fr-FR"/>
              </w:rPr>
              <w:tab/>
            </w:r>
            <w:r w:rsidRPr="00DE3101">
              <w:rPr>
                <w:rStyle w:val="Lienhypertexte"/>
                <w:rFonts w:ascii="Times New Roman" w:hAnsi="Times New Roman" w:cs="Times New Roman"/>
                <w:noProof/>
              </w:rPr>
              <w:t>Modélisation et transformation des données</w:t>
            </w:r>
            <w:r>
              <w:rPr>
                <w:noProof/>
                <w:webHidden/>
              </w:rPr>
              <w:tab/>
            </w:r>
            <w:r>
              <w:rPr>
                <w:noProof/>
                <w:webHidden/>
              </w:rPr>
              <w:fldChar w:fldCharType="begin"/>
            </w:r>
            <w:r>
              <w:rPr>
                <w:noProof/>
                <w:webHidden/>
              </w:rPr>
              <w:instrText xml:space="preserve"> PAGEREF _Toc215843460 \h </w:instrText>
            </w:r>
            <w:r>
              <w:rPr>
                <w:noProof/>
                <w:webHidden/>
              </w:rPr>
            </w:r>
            <w:r>
              <w:rPr>
                <w:noProof/>
                <w:webHidden/>
              </w:rPr>
              <w:fldChar w:fldCharType="separate"/>
            </w:r>
            <w:r w:rsidR="00802037">
              <w:rPr>
                <w:noProof/>
                <w:webHidden/>
              </w:rPr>
              <w:t>10</w:t>
            </w:r>
            <w:r>
              <w:rPr>
                <w:noProof/>
                <w:webHidden/>
              </w:rPr>
              <w:fldChar w:fldCharType="end"/>
            </w:r>
          </w:hyperlink>
        </w:p>
        <w:p w14:paraId="4E81ECDD" w14:textId="53DFBCDA" w:rsidR="0062041C" w:rsidRDefault="0062041C">
          <w:pPr>
            <w:pStyle w:val="TM2"/>
            <w:tabs>
              <w:tab w:val="left" w:pos="960"/>
              <w:tab w:val="right" w:leader="dot" w:pos="9062"/>
            </w:tabs>
            <w:rPr>
              <w:rFonts w:eastAsiaTheme="minorEastAsia"/>
              <w:noProof/>
              <w:sz w:val="24"/>
              <w:szCs w:val="24"/>
              <w:lang w:eastAsia="fr-FR"/>
            </w:rPr>
          </w:pPr>
          <w:hyperlink w:anchor="_Toc215843461" w:history="1">
            <w:r w:rsidRPr="00DE3101">
              <w:rPr>
                <w:rStyle w:val="Lienhypertexte"/>
                <w:rFonts w:ascii="Times New Roman" w:hAnsi="Times New Roman" w:cs="Times New Roman"/>
                <w:noProof/>
              </w:rPr>
              <w:t>5.3.</w:t>
            </w:r>
            <w:r>
              <w:rPr>
                <w:rFonts w:eastAsiaTheme="minorEastAsia"/>
                <w:noProof/>
                <w:sz w:val="24"/>
                <w:szCs w:val="24"/>
                <w:lang w:eastAsia="fr-FR"/>
              </w:rPr>
              <w:tab/>
            </w:r>
            <w:r w:rsidRPr="00DE3101">
              <w:rPr>
                <w:rStyle w:val="Lienhypertexte"/>
                <w:rFonts w:ascii="Times New Roman" w:hAnsi="Times New Roman" w:cs="Times New Roman"/>
                <w:noProof/>
              </w:rPr>
              <w:t>Machine Learning et IA</w:t>
            </w:r>
            <w:r>
              <w:rPr>
                <w:noProof/>
                <w:webHidden/>
              </w:rPr>
              <w:tab/>
            </w:r>
            <w:r>
              <w:rPr>
                <w:noProof/>
                <w:webHidden/>
              </w:rPr>
              <w:fldChar w:fldCharType="begin"/>
            </w:r>
            <w:r>
              <w:rPr>
                <w:noProof/>
                <w:webHidden/>
              </w:rPr>
              <w:instrText xml:space="preserve"> PAGEREF _Toc215843461 \h </w:instrText>
            </w:r>
            <w:r>
              <w:rPr>
                <w:noProof/>
                <w:webHidden/>
              </w:rPr>
            </w:r>
            <w:r>
              <w:rPr>
                <w:noProof/>
                <w:webHidden/>
              </w:rPr>
              <w:fldChar w:fldCharType="separate"/>
            </w:r>
            <w:r w:rsidR="00802037">
              <w:rPr>
                <w:noProof/>
                <w:webHidden/>
              </w:rPr>
              <w:t>10</w:t>
            </w:r>
            <w:r>
              <w:rPr>
                <w:noProof/>
                <w:webHidden/>
              </w:rPr>
              <w:fldChar w:fldCharType="end"/>
            </w:r>
          </w:hyperlink>
        </w:p>
        <w:p w14:paraId="6968CB33" w14:textId="07452989" w:rsidR="0062041C" w:rsidRDefault="0062041C">
          <w:pPr>
            <w:pStyle w:val="TM2"/>
            <w:tabs>
              <w:tab w:val="left" w:pos="960"/>
              <w:tab w:val="right" w:leader="dot" w:pos="9062"/>
            </w:tabs>
            <w:rPr>
              <w:rFonts w:eastAsiaTheme="minorEastAsia"/>
              <w:noProof/>
              <w:sz w:val="24"/>
              <w:szCs w:val="24"/>
              <w:lang w:eastAsia="fr-FR"/>
            </w:rPr>
          </w:pPr>
          <w:hyperlink w:anchor="_Toc215843462" w:history="1">
            <w:r w:rsidRPr="00DE3101">
              <w:rPr>
                <w:rStyle w:val="Lienhypertexte"/>
                <w:rFonts w:ascii="Times New Roman" w:hAnsi="Times New Roman" w:cs="Times New Roman"/>
                <w:noProof/>
              </w:rPr>
              <w:t>5.4.</w:t>
            </w:r>
            <w:r>
              <w:rPr>
                <w:rFonts w:eastAsiaTheme="minorEastAsia"/>
                <w:noProof/>
                <w:sz w:val="24"/>
                <w:szCs w:val="24"/>
                <w:lang w:eastAsia="fr-FR"/>
              </w:rPr>
              <w:tab/>
            </w:r>
            <w:r w:rsidRPr="00DE3101">
              <w:rPr>
                <w:rStyle w:val="Lienhypertexte"/>
                <w:rFonts w:ascii="Times New Roman" w:hAnsi="Times New Roman" w:cs="Times New Roman"/>
                <w:noProof/>
              </w:rPr>
              <w:t>Cadre réglementaire</w:t>
            </w:r>
            <w:r>
              <w:rPr>
                <w:noProof/>
                <w:webHidden/>
              </w:rPr>
              <w:tab/>
            </w:r>
            <w:r>
              <w:rPr>
                <w:noProof/>
                <w:webHidden/>
              </w:rPr>
              <w:fldChar w:fldCharType="begin"/>
            </w:r>
            <w:r>
              <w:rPr>
                <w:noProof/>
                <w:webHidden/>
              </w:rPr>
              <w:instrText xml:space="preserve"> PAGEREF _Toc215843462 \h </w:instrText>
            </w:r>
            <w:r>
              <w:rPr>
                <w:noProof/>
                <w:webHidden/>
              </w:rPr>
            </w:r>
            <w:r>
              <w:rPr>
                <w:noProof/>
                <w:webHidden/>
              </w:rPr>
              <w:fldChar w:fldCharType="separate"/>
            </w:r>
            <w:r w:rsidR="00802037">
              <w:rPr>
                <w:noProof/>
                <w:webHidden/>
              </w:rPr>
              <w:t>10</w:t>
            </w:r>
            <w:r>
              <w:rPr>
                <w:noProof/>
                <w:webHidden/>
              </w:rPr>
              <w:fldChar w:fldCharType="end"/>
            </w:r>
          </w:hyperlink>
        </w:p>
        <w:p w14:paraId="74485976" w14:textId="3E2CBD33" w:rsidR="0062041C" w:rsidRDefault="0062041C">
          <w:pPr>
            <w:pStyle w:val="TM2"/>
            <w:tabs>
              <w:tab w:val="left" w:pos="960"/>
              <w:tab w:val="right" w:leader="dot" w:pos="9062"/>
            </w:tabs>
            <w:rPr>
              <w:rFonts w:eastAsiaTheme="minorEastAsia"/>
              <w:noProof/>
              <w:sz w:val="24"/>
              <w:szCs w:val="24"/>
              <w:lang w:eastAsia="fr-FR"/>
            </w:rPr>
          </w:pPr>
          <w:hyperlink w:anchor="_Toc215843463" w:history="1">
            <w:r w:rsidRPr="00DE3101">
              <w:rPr>
                <w:rStyle w:val="Lienhypertexte"/>
                <w:rFonts w:ascii="Times New Roman" w:hAnsi="Times New Roman" w:cs="Times New Roman"/>
                <w:noProof/>
              </w:rPr>
              <w:t>5.5.</w:t>
            </w:r>
            <w:r>
              <w:rPr>
                <w:rFonts w:eastAsiaTheme="minorEastAsia"/>
                <w:noProof/>
                <w:sz w:val="24"/>
                <w:szCs w:val="24"/>
                <w:lang w:eastAsia="fr-FR"/>
              </w:rPr>
              <w:tab/>
            </w:r>
            <w:r w:rsidRPr="00DE3101">
              <w:rPr>
                <w:rStyle w:val="Lienhypertexte"/>
                <w:rFonts w:ascii="Times New Roman" w:hAnsi="Times New Roman" w:cs="Times New Roman"/>
                <w:noProof/>
              </w:rPr>
              <w:t>Responsabilité sociétale et environnementale (RSE)</w:t>
            </w:r>
            <w:r>
              <w:rPr>
                <w:noProof/>
                <w:webHidden/>
              </w:rPr>
              <w:tab/>
            </w:r>
            <w:r>
              <w:rPr>
                <w:noProof/>
                <w:webHidden/>
              </w:rPr>
              <w:fldChar w:fldCharType="begin"/>
            </w:r>
            <w:r>
              <w:rPr>
                <w:noProof/>
                <w:webHidden/>
              </w:rPr>
              <w:instrText xml:space="preserve"> PAGEREF _Toc215843463 \h </w:instrText>
            </w:r>
            <w:r>
              <w:rPr>
                <w:noProof/>
                <w:webHidden/>
              </w:rPr>
            </w:r>
            <w:r>
              <w:rPr>
                <w:noProof/>
                <w:webHidden/>
              </w:rPr>
              <w:fldChar w:fldCharType="separate"/>
            </w:r>
            <w:r w:rsidR="00802037">
              <w:rPr>
                <w:noProof/>
                <w:webHidden/>
              </w:rPr>
              <w:t>11</w:t>
            </w:r>
            <w:r>
              <w:rPr>
                <w:noProof/>
                <w:webHidden/>
              </w:rPr>
              <w:fldChar w:fldCharType="end"/>
            </w:r>
          </w:hyperlink>
        </w:p>
        <w:p w14:paraId="169D0053" w14:textId="58968B0F" w:rsidR="0062041C" w:rsidRDefault="0062041C">
          <w:pPr>
            <w:pStyle w:val="TM1"/>
            <w:tabs>
              <w:tab w:val="left" w:pos="440"/>
              <w:tab w:val="right" w:leader="dot" w:pos="9062"/>
            </w:tabs>
            <w:rPr>
              <w:rFonts w:eastAsiaTheme="minorEastAsia"/>
              <w:noProof/>
              <w:sz w:val="24"/>
              <w:szCs w:val="24"/>
              <w:lang w:eastAsia="fr-FR"/>
            </w:rPr>
          </w:pPr>
          <w:hyperlink w:anchor="_Toc215843464" w:history="1">
            <w:r w:rsidRPr="00DE3101">
              <w:rPr>
                <w:rStyle w:val="Lienhypertexte"/>
                <w:rFonts w:ascii="Times New Roman" w:hAnsi="Times New Roman" w:cs="Times New Roman"/>
                <w:noProof/>
              </w:rPr>
              <w:t>6.</w:t>
            </w:r>
            <w:r>
              <w:rPr>
                <w:rFonts w:eastAsiaTheme="minorEastAsia"/>
                <w:noProof/>
                <w:sz w:val="24"/>
                <w:szCs w:val="24"/>
                <w:lang w:eastAsia="fr-FR"/>
              </w:rPr>
              <w:tab/>
            </w:r>
            <w:r w:rsidRPr="00DE3101">
              <w:rPr>
                <w:rStyle w:val="Lienhypertexte"/>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_Toc215843464 \h </w:instrText>
            </w:r>
            <w:r>
              <w:rPr>
                <w:noProof/>
                <w:webHidden/>
              </w:rPr>
            </w:r>
            <w:r>
              <w:rPr>
                <w:noProof/>
                <w:webHidden/>
              </w:rPr>
              <w:fldChar w:fldCharType="separate"/>
            </w:r>
            <w:r w:rsidR="00802037">
              <w:rPr>
                <w:noProof/>
                <w:webHidden/>
              </w:rPr>
              <w:t>11</w:t>
            </w:r>
            <w:r>
              <w:rPr>
                <w:noProof/>
                <w:webHidden/>
              </w:rPr>
              <w:fldChar w:fldCharType="end"/>
            </w:r>
          </w:hyperlink>
        </w:p>
        <w:p w14:paraId="20223EC1" w14:textId="183B3C9B" w:rsidR="0062041C" w:rsidRDefault="0062041C">
          <w:pPr>
            <w:pStyle w:val="TM1"/>
            <w:tabs>
              <w:tab w:val="left" w:pos="440"/>
              <w:tab w:val="right" w:leader="dot" w:pos="9062"/>
            </w:tabs>
            <w:rPr>
              <w:rFonts w:eastAsiaTheme="minorEastAsia"/>
              <w:noProof/>
              <w:sz w:val="24"/>
              <w:szCs w:val="24"/>
              <w:lang w:eastAsia="fr-FR"/>
            </w:rPr>
          </w:pPr>
          <w:hyperlink w:anchor="_Toc215843465" w:history="1">
            <w:r w:rsidRPr="00DE3101">
              <w:rPr>
                <w:rStyle w:val="Lienhypertexte"/>
                <w:rFonts w:ascii="Times New Roman" w:hAnsi="Times New Roman" w:cs="Times New Roman"/>
                <w:noProof/>
              </w:rPr>
              <w:t>7.</w:t>
            </w:r>
            <w:r>
              <w:rPr>
                <w:rFonts w:eastAsiaTheme="minorEastAsia"/>
                <w:noProof/>
                <w:sz w:val="24"/>
                <w:szCs w:val="24"/>
                <w:lang w:eastAsia="fr-FR"/>
              </w:rPr>
              <w:tab/>
            </w:r>
            <w:r w:rsidRPr="00DE3101">
              <w:rPr>
                <w:rStyle w:val="Lienhypertexte"/>
                <w:rFonts w:ascii="Times New Roman" w:hAnsi="Times New Roman" w:cs="Times New Roman"/>
                <w:noProof/>
              </w:rPr>
              <w:t>Références</w:t>
            </w:r>
            <w:r>
              <w:rPr>
                <w:noProof/>
                <w:webHidden/>
              </w:rPr>
              <w:tab/>
            </w:r>
            <w:r>
              <w:rPr>
                <w:noProof/>
                <w:webHidden/>
              </w:rPr>
              <w:fldChar w:fldCharType="begin"/>
            </w:r>
            <w:r>
              <w:rPr>
                <w:noProof/>
                <w:webHidden/>
              </w:rPr>
              <w:instrText xml:space="preserve"> PAGEREF _Toc215843465 \h </w:instrText>
            </w:r>
            <w:r>
              <w:rPr>
                <w:noProof/>
                <w:webHidden/>
              </w:rPr>
            </w:r>
            <w:r>
              <w:rPr>
                <w:noProof/>
                <w:webHidden/>
              </w:rPr>
              <w:fldChar w:fldCharType="separate"/>
            </w:r>
            <w:r w:rsidR="00802037">
              <w:rPr>
                <w:noProof/>
                <w:webHidden/>
              </w:rPr>
              <w:t>12</w:t>
            </w:r>
            <w:r>
              <w:rPr>
                <w:noProof/>
                <w:webHidden/>
              </w:rPr>
              <w:fldChar w:fldCharType="end"/>
            </w:r>
          </w:hyperlink>
        </w:p>
        <w:p w14:paraId="4005345A" w14:textId="4227B05A" w:rsidR="0062041C" w:rsidRDefault="0062041C">
          <w:r>
            <w:rPr>
              <w:b/>
              <w:bCs/>
            </w:rPr>
            <w:fldChar w:fldCharType="end"/>
          </w:r>
        </w:p>
      </w:sdtContent>
    </w:sdt>
    <w:p w14:paraId="1DB307DE" w14:textId="77777777" w:rsidR="00EF7085" w:rsidRPr="004178D6" w:rsidRDefault="00EF7085">
      <w:pPr>
        <w:rPr>
          <w:rFonts w:ascii="Times New Roman" w:hAnsi="Times New Roman" w:cs="Times New Roman"/>
          <w:b/>
          <w:bCs/>
        </w:rPr>
      </w:pPr>
    </w:p>
    <w:p w14:paraId="452D2B3F" w14:textId="77777777" w:rsidR="00EF7085" w:rsidRPr="004178D6" w:rsidRDefault="00EF7085">
      <w:pPr>
        <w:rPr>
          <w:rFonts w:ascii="Times New Roman" w:hAnsi="Times New Roman" w:cs="Times New Roman"/>
          <w:b/>
          <w:bCs/>
        </w:rPr>
      </w:pPr>
    </w:p>
    <w:p w14:paraId="7CBE9568" w14:textId="77777777" w:rsidR="00EF7085" w:rsidRPr="004178D6" w:rsidRDefault="00EF7085">
      <w:pPr>
        <w:rPr>
          <w:rFonts w:ascii="Times New Roman" w:hAnsi="Times New Roman" w:cs="Times New Roman"/>
          <w:b/>
          <w:bCs/>
        </w:rPr>
      </w:pPr>
    </w:p>
    <w:p w14:paraId="02A47B51" w14:textId="77777777" w:rsidR="00EF7085" w:rsidRPr="004178D6" w:rsidRDefault="00EF7085">
      <w:pPr>
        <w:rPr>
          <w:rFonts w:ascii="Times New Roman" w:hAnsi="Times New Roman" w:cs="Times New Roman"/>
          <w:b/>
          <w:bCs/>
        </w:rPr>
      </w:pPr>
    </w:p>
    <w:p w14:paraId="68F2ABD7" w14:textId="77777777" w:rsidR="00EF7085" w:rsidRPr="004178D6" w:rsidRDefault="00EF7085">
      <w:pPr>
        <w:rPr>
          <w:rFonts w:ascii="Times New Roman" w:hAnsi="Times New Roman" w:cs="Times New Roman"/>
          <w:b/>
          <w:bCs/>
        </w:rPr>
      </w:pPr>
    </w:p>
    <w:p w14:paraId="543B87C4" w14:textId="77777777" w:rsidR="00EF7085" w:rsidRPr="004178D6" w:rsidRDefault="00EF7085">
      <w:pPr>
        <w:rPr>
          <w:rFonts w:ascii="Times New Roman" w:hAnsi="Times New Roman" w:cs="Times New Roman"/>
          <w:b/>
          <w:bCs/>
        </w:rPr>
      </w:pPr>
    </w:p>
    <w:p w14:paraId="0FF20141" w14:textId="77777777" w:rsidR="00EF7085" w:rsidRPr="004178D6" w:rsidRDefault="00EF7085">
      <w:pPr>
        <w:rPr>
          <w:rFonts w:ascii="Times New Roman" w:hAnsi="Times New Roman" w:cs="Times New Roman"/>
          <w:b/>
          <w:bCs/>
        </w:rPr>
      </w:pPr>
    </w:p>
    <w:p w14:paraId="3452EA53" w14:textId="77777777" w:rsidR="00EF7085" w:rsidRPr="004178D6" w:rsidRDefault="00EF7085">
      <w:pPr>
        <w:rPr>
          <w:rFonts w:ascii="Times New Roman" w:hAnsi="Times New Roman" w:cs="Times New Roman"/>
          <w:b/>
          <w:bCs/>
        </w:rPr>
      </w:pPr>
    </w:p>
    <w:p w14:paraId="1356C081" w14:textId="77777777" w:rsidR="00EF7085" w:rsidRPr="004178D6" w:rsidRDefault="00EF7085">
      <w:pPr>
        <w:rPr>
          <w:rFonts w:ascii="Times New Roman" w:hAnsi="Times New Roman" w:cs="Times New Roman"/>
          <w:b/>
          <w:bCs/>
        </w:rPr>
      </w:pPr>
    </w:p>
    <w:p w14:paraId="32F475D4" w14:textId="77777777" w:rsidR="00EF7085" w:rsidRPr="004178D6" w:rsidRDefault="00EF7085">
      <w:pPr>
        <w:rPr>
          <w:rFonts w:ascii="Times New Roman" w:hAnsi="Times New Roman" w:cs="Times New Roman"/>
          <w:b/>
          <w:bCs/>
        </w:rPr>
      </w:pPr>
    </w:p>
    <w:p w14:paraId="6019C963" w14:textId="77777777" w:rsidR="00EF7085" w:rsidRPr="004178D6" w:rsidRDefault="00EF7085">
      <w:pPr>
        <w:rPr>
          <w:rFonts w:ascii="Times New Roman" w:hAnsi="Times New Roman" w:cs="Times New Roman"/>
          <w:b/>
          <w:bCs/>
        </w:rPr>
      </w:pPr>
    </w:p>
    <w:p w14:paraId="09BA7C41" w14:textId="77777777" w:rsidR="00EF7085" w:rsidRPr="004178D6" w:rsidRDefault="00EF7085">
      <w:pPr>
        <w:rPr>
          <w:rFonts w:ascii="Times New Roman" w:hAnsi="Times New Roman" w:cs="Times New Roman"/>
          <w:b/>
          <w:bCs/>
        </w:rPr>
      </w:pPr>
    </w:p>
    <w:p w14:paraId="53DA4456" w14:textId="2BF1AB59" w:rsidR="00EF7085" w:rsidRPr="004178D6" w:rsidRDefault="005A7D98" w:rsidP="00EF7085">
      <w:pPr>
        <w:rPr>
          <w:rFonts w:ascii="Times New Roman" w:hAnsi="Times New Roman" w:cs="Times New Roman"/>
        </w:rPr>
      </w:pPr>
      <w:r w:rsidRPr="004178D6">
        <w:rPr>
          <w:rFonts w:ascii="Times New Roman" w:hAnsi="Times New Roman" w:cs="Times New Roman"/>
        </w:rPr>
        <w:br w:type="page"/>
      </w:r>
    </w:p>
    <w:p w14:paraId="12069540" w14:textId="0B84ACBC" w:rsidR="005771D9" w:rsidRPr="004178D6" w:rsidRDefault="006C22EB" w:rsidP="00665D2C">
      <w:pPr>
        <w:pStyle w:val="Titre1"/>
        <w:numPr>
          <w:ilvl w:val="0"/>
          <w:numId w:val="3"/>
        </w:numPr>
        <w:rPr>
          <w:rFonts w:ascii="Times New Roman" w:hAnsi="Times New Roman" w:cs="Times New Roman"/>
        </w:rPr>
      </w:pPr>
      <w:bookmarkStart w:id="0" w:name="_Toc215843449"/>
      <w:r w:rsidRPr="004178D6">
        <w:rPr>
          <w:rFonts w:ascii="Times New Roman" w:hAnsi="Times New Roman" w:cs="Times New Roman"/>
        </w:rPr>
        <w:lastRenderedPageBreak/>
        <w:t>Objectif du dispositif de veille technologique</w:t>
      </w:r>
      <w:bookmarkEnd w:id="0"/>
    </w:p>
    <w:p w14:paraId="0B0CC6F1" w14:textId="413417E0" w:rsidR="00E6138E" w:rsidRPr="004178D6" w:rsidRDefault="00291B3F" w:rsidP="00E6138E">
      <w:pPr>
        <w:rPr>
          <w:rFonts w:ascii="Times New Roman" w:hAnsi="Times New Roman" w:cs="Times New Roman"/>
          <w:sz w:val="24"/>
          <w:szCs w:val="24"/>
        </w:rPr>
      </w:pPr>
      <w:r w:rsidRPr="004178D6">
        <w:rPr>
          <w:rFonts w:ascii="Times New Roman" w:hAnsi="Times New Roman" w:cs="Times New Roman"/>
          <w:sz w:val="24"/>
          <w:szCs w:val="24"/>
        </w:rPr>
        <w:t>Le projet Amazon Reviews vise à analyser et exploiter les avis clients en utilisant des technologies avancées de traitement du langage (NLP, LLMs) tout en respectant les obligations réglementaires (RGPD, CCPA… etc.).</w:t>
      </w:r>
    </w:p>
    <w:p w14:paraId="5E6C73C5" w14:textId="3204CCBE" w:rsidR="006C22EB" w:rsidRPr="004178D6" w:rsidRDefault="006C22EB" w:rsidP="006C22EB">
      <w:pPr>
        <w:rPr>
          <w:rFonts w:ascii="Times New Roman" w:hAnsi="Times New Roman" w:cs="Times New Roman"/>
          <w:sz w:val="24"/>
          <w:szCs w:val="24"/>
        </w:rPr>
      </w:pPr>
      <w:r w:rsidRPr="004178D6">
        <w:rPr>
          <w:rFonts w:ascii="Times New Roman" w:hAnsi="Times New Roman" w:cs="Times New Roman"/>
          <w:sz w:val="24"/>
          <w:szCs w:val="24"/>
        </w:rPr>
        <w:t>C</w:t>
      </w:r>
      <w:r w:rsidR="00EB618A" w:rsidRPr="004178D6">
        <w:rPr>
          <w:rFonts w:ascii="Times New Roman" w:hAnsi="Times New Roman" w:cs="Times New Roman"/>
          <w:sz w:val="24"/>
          <w:szCs w:val="24"/>
        </w:rPr>
        <w:t>e dispositif de veille technologique vise à suivre les évolutions technologiques dans les domaines du numérique, du cloud, du Big Data et du décisionnel afin d’adapter les choix techniques du projet Amazon.</w:t>
      </w:r>
      <w:r w:rsidRPr="004178D6">
        <w:rPr>
          <w:rFonts w:ascii="Times New Roman" w:hAnsi="Times New Roman" w:cs="Times New Roman"/>
          <w:sz w:val="24"/>
          <w:szCs w:val="24"/>
        </w:rPr>
        <w:t xml:space="preserve"> Il vise également à identifier les obligations réglementaires liées à la gestion et au traitement des données (RGPD, CNIL, RGAA, RSE).</w:t>
      </w:r>
    </w:p>
    <w:p w14:paraId="6FF58225" w14:textId="317E22E8" w:rsidR="00D1001D" w:rsidRPr="00D1001D" w:rsidRDefault="00D434B8" w:rsidP="00D1001D">
      <w:pPr>
        <w:pStyle w:val="Titre1"/>
        <w:numPr>
          <w:ilvl w:val="0"/>
          <w:numId w:val="3"/>
        </w:numPr>
        <w:rPr>
          <w:rFonts w:ascii="Times New Roman" w:hAnsi="Times New Roman" w:cs="Times New Roman"/>
        </w:rPr>
      </w:pPr>
      <w:bookmarkStart w:id="1" w:name="_Toc215843450"/>
      <w:r w:rsidRPr="004178D6">
        <w:rPr>
          <w:rFonts w:ascii="Times New Roman" w:hAnsi="Times New Roman" w:cs="Times New Roman"/>
        </w:rPr>
        <w:t>Méthodologie de veille</w:t>
      </w:r>
      <w:bookmarkEnd w:id="1"/>
    </w:p>
    <w:p w14:paraId="3B44DB82" w14:textId="232E22DF" w:rsidR="00D1001D" w:rsidRPr="00D1001D" w:rsidRDefault="00D1001D" w:rsidP="00D1001D">
      <w:pPr>
        <w:pStyle w:val="Titre2"/>
        <w:numPr>
          <w:ilvl w:val="1"/>
          <w:numId w:val="3"/>
        </w:numPr>
        <w:rPr>
          <w:rFonts w:ascii="Times New Roman" w:hAnsi="Times New Roman" w:cs="Times New Roman"/>
        </w:rPr>
      </w:pPr>
      <w:bookmarkStart w:id="2" w:name="_Toc215843451"/>
      <w:r w:rsidRPr="00D1001D">
        <w:rPr>
          <w:rFonts w:ascii="Times New Roman" w:hAnsi="Times New Roman" w:cs="Times New Roman"/>
        </w:rPr>
        <w:t xml:space="preserve">Définitions </w:t>
      </w:r>
      <w:r>
        <w:rPr>
          <w:rFonts w:ascii="Times New Roman" w:hAnsi="Times New Roman" w:cs="Times New Roman"/>
        </w:rPr>
        <w:t>d’une veille statique et veille dynamique</w:t>
      </w:r>
      <w:bookmarkEnd w:id="2"/>
    </w:p>
    <w:p w14:paraId="599ED379" w14:textId="77777777" w:rsidR="00D1001D" w:rsidRDefault="00D1001D" w:rsidP="00D1001D">
      <w:pPr>
        <w:rPr>
          <w:rFonts w:ascii="Times New Roman" w:hAnsi="Times New Roman" w:cs="Times New Roman"/>
          <w:b/>
          <w:bCs/>
          <w:sz w:val="24"/>
          <w:szCs w:val="24"/>
          <w:u w:val="single"/>
        </w:rPr>
      </w:pPr>
    </w:p>
    <w:p w14:paraId="6BF31AEA" w14:textId="2A45FA44" w:rsidR="00D1001D" w:rsidRPr="00D1001D" w:rsidRDefault="00D1001D" w:rsidP="00D1001D">
      <w:pPr>
        <w:rPr>
          <w:rFonts w:ascii="Times New Roman" w:hAnsi="Times New Roman" w:cs="Times New Roman"/>
          <w:b/>
          <w:bCs/>
          <w:sz w:val="24"/>
          <w:szCs w:val="24"/>
          <w:u w:val="single"/>
        </w:rPr>
      </w:pPr>
      <w:r w:rsidRPr="00D1001D">
        <w:rPr>
          <w:rFonts w:ascii="Times New Roman" w:hAnsi="Times New Roman" w:cs="Times New Roman"/>
          <w:b/>
          <w:bCs/>
          <w:sz w:val="24"/>
          <w:szCs w:val="24"/>
          <w:u w:val="single"/>
        </w:rPr>
        <w:t>Veille statique (ponctuelle)</w:t>
      </w:r>
    </w:p>
    <w:p w14:paraId="5BA5D441" w14:textId="40AA9A6D" w:rsidR="00D1001D" w:rsidRPr="00D1001D" w:rsidRDefault="00D1001D" w:rsidP="00D1001D">
      <w:pPr>
        <w:rPr>
          <w:rFonts w:ascii="Times New Roman" w:hAnsi="Times New Roman" w:cs="Times New Roman"/>
          <w:sz w:val="24"/>
          <w:szCs w:val="24"/>
        </w:rPr>
      </w:pPr>
      <w:r w:rsidRPr="00D1001D">
        <w:rPr>
          <w:rFonts w:ascii="Times New Roman" w:hAnsi="Times New Roman" w:cs="Times New Roman"/>
          <w:sz w:val="24"/>
          <w:szCs w:val="24"/>
        </w:rPr>
        <w:t>La veille statique consiste à effectuer des recherches ponctuelles, à un instant T, pour répondre à un besoin immédiat. Elle se caractérise par une collecte manuelle d'informations non automatisée, sans mécanisme de mise à jour continue. Cette approche présente des limites importantes : les informations deviennent rapidement obsolètes, elle nécessite un effort constant de recherche manuelle, et le risque de passer à côté d'évolutions critiques est élevé. La veille statique convient uniquement aux projets courts avec des technologies stables.</w:t>
      </w:r>
    </w:p>
    <w:p w14:paraId="1FCF483E" w14:textId="77777777" w:rsidR="00D1001D" w:rsidRDefault="00D1001D" w:rsidP="00D1001D">
      <w:pPr>
        <w:rPr>
          <w:rFonts w:ascii="Times New Roman" w:hAnsi="Times New Roman" w:cs="Times New Roman"/>
          <w:sz w:val="24"/>
          <w:szCs w:val="24"/>
        </w:rPr>
      </w:pPr>
      <w:r w:rsidRPr="00D1001D">
        <w:rPr>
          <w:rFonts w:ascii="Times New Roman" w:hAnsi="Times New Roman" w:cs="Times New Roman"/>
          <w:b/>
          <w:bCs/>
          <w:sz w:val="24"/>
          <w:szCs w:val="24"/>
          <w:u w:val="single"/>
        </w:rPr>
        <w:t>Veille dynamique (continue et automatisée)</w:t>
      </w:r>
    </w:p>
    <w:p w14:paraId="78889628" w14:textId="5F4A04C6" w:rsidR="00D1001D" w:rsidRPr="00D1001D" w:rsidRDefault="00D1001D" w:rsidP="00D1001D">
      <w:pPr>
        <w:rPr>
          <w:rFonts w:ascii="Times New Roman" w:hAnsi="Times New Roman" w:cs="Times New Roman"/>
          <w:sz w:val="24"/>
          <w:szCs w:val="24"/>
        </w:rPr>
      </w:pPr>
      <w:r w:rsidRPr="00D1001D">
        <w:rPr>
          <w:rFonts w:ascii="Times New Roman" w:hAnsi="Times New Roman" w:cs="Times New Roman"/>
          <w:sz w:val="24"/>
          <w:szCs w:val="24"/>
        </w:rPr>
        <w:t>À l'inverse, la veille dynamique met en place un système permanent de surveillance technologique et réglementaire. Elle s'appuie sur des flux automatisés (RSS, alertes, API), une mise à jour continue des informations, et des mécanismes d'alerte en temps réel. Cette approche permet d'anticiper les évolutions, de maintenir une conformité réglementaire constante, et d'adapter rapidement les choix techniques aux tendances émergentes.</w:t>
      </w:r>
    </w:p>
    <w:p w14:paraId="63A6FE68" w14:textId="5D6136E5" w:rsidR="007A00EC" w:rsidRPr="007A00EC" w:rsidRDefault="00D1001D" w:rsidP="007A00EC">
      <w:pPr>
        <w:pStyle w:val="Titre2"/>
        <w:numPr>
          <w:ilvl w:val="1"/>
          <w:numId w:val="3"/>
        </w:numPr>
        <w:rPr>
          <w:rFonts w:ascii="Times New Roman" w:hAnsi="Times New Roman" w:cs="Times New Roman"/>
        </w:rPr>
      </w:pPr>
      <w:bookmarkStart w:id="3" w:name="_Toc215843452"/>
      <w:r>
        <w:rPr>
          <w:rFonts w:ascii="Times New Roman" w:hAnsi="Times New Roman" w:cs="Times New Roman"/>
        </w:rPr>
        <w:t xml:space="preserve">Choix méthodologique </w:t>
      </w:r>
      <w:r w:rsidRPr="00D1001D">
        <w:rPr>
          <w:rFonts w:ascii="Times New Roman" w:hAnsi="Times New Roman" w:cs="Times New Roman"/>
        </w:rPr>
        <w:t xml:space="preserve">: veille </w:t>
      </w:r>
      <w:r>
        <w:rPr>
          <w:rFonts w:ascii="Times New Roman" w:hAnsi="Times New Roman" w:cs="Times New Roman"/>
        </w:rPr>
        <w:t>statique</w:t>
      </w:r>
      <w:bookmarkEnd w:id="3"/>
    </w:p>
    <w:p w14:paraId="1638B824" w14:textId="187AD624" w:rsidR="007A00EC" w:rsidRPr="007A00EC" w:rsidRDefault="007A00EC" w:rsidP="00D1001D">
      <w:pPr>
        <w:rPr>
          <w:rFonts w:ascii="Times New Roman" w:hAnsi="Times New Roman" w:cs="Times New Roman"/>
          <w:b/>
          <w:bCs/>
          <w:sz w:val="24"/>
          <w:szCs w:val="24"/>
          <w:u w:val="single"/>
        </w:rPr>
      </w:pPr>
      <w:r w:rsidRPr="007A00EC">
        <w:rPr>
          <w:rFonts w:ascii="Times New Roman" w:hAnsi="Times New Roman" w:cs="Times New Roman"/>
          <w:b/>
          <w:bCs/>
          <w:sz w:val="24"/>
          <w:szCs w:val="24"/>
          <w:u w:val="single"/>
        </w:rPr>
        <w:t>Justification du choix</w:t>
      </w:r>
    </w:p>
    <w:p w14:paraId="12CE8631" w14:textId="3FFADE8E" w:rsidR="00D1001D" w:rsidRPr="007A00EC" w:rsidRDefault="00D1001D" w:rsidP="00D1001D">
      <w:pPr>
        <w:rPr>
          <w:rFonts w:ascii="Times New Roman" w:hAnsi="Times New Roman" w:cs="Times New Roman"/>
          <w:sz w:val="24"/>
          <w:szCs w:val="24"/>
        </w:rPr>
      </w:pPr>
      <w:r w:rsidRPr="00D1001D">
        <w:rPr>
          <w:rFonts w:ascii="Times New Roman" w:hAnsi="Times New Roman" w:cs="Times New Roman"/>
          <w:sz w:val="24"/>
          <w:szCs w:val="24"/>
        </w:rPr>
        <w:t>Pour ce projet Amazon Review Analysis, nous avons opté pour une veille statique intensive</w:t>
      </w:r>
      <w:r w:rsidRPr="007A00EC">
        <w:rPr>
          <w:rFonts w:ascii="Times New Roman" w:hAnsi="Times New Roman" w:cs="Times New Roman"/>
          <w:sz w:val="24"/>
          <w:szCs w:val="24"/>
        </w:rPr>
        <w:t xml:space="preserve">. </w:t>
      </w:r>
      <w:r w:rsidRPr="00D1001D">
        <w:rPr>
          <w:rFonts w:ascii="Times New Roman" w:hAnsi="Times New Roman" w:cs="Times New Roman"/>
          <w:sz w:val="24"/>
          <w:szCs w:val="24"/>
        </w:rPr>
        <w:t>Ce choix méthodologique repose sur une analyse pragmatique des besoins du projet et des contraintes opérationnelles.</w:t>
      </w:r>
    </w:p>
    <w:p w14:paraId="313B936F" w14:textId="60A0B194" w:rsidR="00D1001D" w:rsidRPr="00D1001D" w:rsidRDefault="00D1001D" w:rsidP="00D1001D">
      <w:pPr>
        <w:rPr>
          <w:rFonts w:ascii="Times New Roman" w:hAnsi="Times New Roman" w:cs="Times New Roman"/>
          <w:b/>
          <w:bCs/>
          <w:sz w:val="24"/>
          <w:szCs w:val="24"/>
          <w:u w:val="single"/>
        </w:rPr>
      </w:pPr>
      <w:r w:rsidRPr="00D1001D">
        <w:rPr>
          <w:rFonts w:ascii="Times New Roman" w:hAnsi="Times New Roman" w:cs="Times New Roman"/>
          <w:b/>
          <w:bCs/>
          <w:sz w:val="24"/>
          <w:szCs w:val="24"/>
          <w:u w:val="single"/>
        </w:rPr>
        <w:t>Besoins du projet</w:t>
      </w:r>
    </w:p>
    <w:p w14:paraId="5593D560" w14:textId="77777777" w:rsidR="00D1001D" w:rsidRDefault="00D1001D" w:rsidP="00D1001D">
      <w:pPr>
        <w:rPr>
          <w:rFonts w:ascii="Times New Roman" w:hAnsi="Times New Roman" w:cs="Times New Roman"/>
          <w:sz w:val="24"/>
          <w:szCs w:val="24"/>
        </w:rPr>
      </w:pPr>
      <w:r w:rsidRPr="00D1001D">
        <w:rPr>
          <w:rFonts w:ascii="Times New Roman" w:hAnsi="Times New Roman" w:cs="Times New Roman"/>
          <w:sz w:val="24"/>
          <w:szCs w:val="24"/>
        </w:rPr>
        <w:t>Le projet nécessitait en phase de cadrage une photographie précise et exhaustive du paysage technologique et réglementaire à un instant donné. L'objectif était d'établir rapidement un référentiel stable permettant de guider les choix architecturaux initiaux (sélection des technologies cloud, outils de traitement Big Data, frameworks ML) et de garantir la conformité réglementaire dès la conception du système. Cette base documentaire devait être immédiatement exploitable par l'ensemble de l'équipe projet.</w:t>
      </w:r>
    </w:p>
    <w:p w14:paraId="3AF8103B" w14:textId="77777777" w:rsidR="007A00EC" w:rsidRPr="00D1001D" w:rsidRDefault="007A00EC" w:rsidP="00D1001D">
      <w:pPr>
        <w:rPr>
          <w:rFonts w:ascii="Times New Roman" w:hAnsi="Times New Roman" w:cs="Times New Roman"/>
          <w:sz w:val="24"/>
          <w:szCs w:val="24"/>
        </w:rPr>
      </w:pPr>
    </w:p>
    <w:p w14:paraId="604DD61C" w14:textId="2A29B458" w:rsidR="00D1001D" w:rsidRPr="00D1001D" w:rsidRDefault="00D1001D" w:rsidP="00D1001D">
      <w:pPr>
        <w:rPr>
          <w:rFonts w:ascii="Times New Roman" w:hAnsi="Times New Roman" w:cs="Times New Roman"/>
          <w:b/>
          <w:bCs/>
          <w:sz w:val="24"/>
          <w:szCs w:val="24"/>
          <w:u w:val="single"/>
        </w:rPr>
      </w:pPr>
      <w:r w:rsidRPr="00D1001D">
        <w:rPr>
          <w:rFonts w:ascii="Times New Roman" w:hAnsi="Times New Roman" w:cs="Times New Roman"/>
          <w:b/>
          <w:bCs/>
          <w:sz w:val="24"/>
          <w:szCs w:val="24"/>
          <w:u w:val="single"/>
        </w:rPr>
        <w:lastRenderedPageBreak/>
        <w:t>Pertinence de l'approche statique</w:t>
      </w:r>
    </w:p>
    <w:p w14:paraId="251BDE18" w14:textId="6804DE5D" w:rsidR="00D1001D" w:rsidRPr="00D1001D" w:rsidRDefault="00D1001D" w:rsidP="00D1001D">
      <w:pPr>
        <w:rPr>
          <w:rFonts w:ascii="Times New Roman" w:hAnsi="Times New Roman" w:cs="Times New Roman"/>
          <w:sz w:val="24"/>
          <w:szCs w:val="24"/>
        </w:rPr>
      </w:pPr>
      <w:r w:rsidRPr="00D1001D">
        <w:rPr>
          <w:rFonts w:ascii="Times New Roman" w:hAnsi="Times New Roman" w:cs="Times New Roman"/>
          <w:sz w:val="24"/>
          <w:szCs w:val="24"/>
        </w:rPr>
        <w:t>Une veille statique bien exécutée offre une vision consolidée et cohérente du paysage technologique et réglementaire. Elle permet une analyse comparative approfondie des différentes solutions technologiques disponibles au moment des choix architecturaux critiques. Cette approche constitue une base documentaire stable et partageable immédiatement utilisable par tous les membres de l'équipe, et facilite la prise de décision en fournissant une vue d'ensemble plutôt qu'une accumulation d'informations ponctuelles.</w:t>
      </w:r>
    </w:p>
    <w:p w14:paraId="3924041A" w14:textId="77777777" w:rsidR="00D1001D" w:rsidRDefault="00D1001D" w:rsidP="00D1001D">
      <w:pPr>
        <w:rPr>
          <w:rFonts w:ascii="Times New Roman" w:hAnsi="Times New Roman" w:cs="Times New Roman"/>
          <w:b/>
          <w:bCs/>
          <w:sz w:val="24"/>
          <w:szCs w:val="24"/>
          <w:u w:val="single"/>
        </w:rPr>
      </w:pPr>
      <w:r w:rsidRPr="00D1001D">
        <w:rPr>
          <w:rFonts w:ascii="Times New Roman" w:hAnsi="Times New Roman" w:cs="Times New Roman"/>
          <w:b/>
          <w:bCs/>
          <w:sz w:val="24"/>
          <w:szCs w:val="24"/>
          <w:u w:val="single"/>
        </w:rPr>
        <w:t>Méthodologie appliquée</w:t>
      </w:r>
    </w:p>
    <w:p w14:paraId="6291B356" w14:textId="77777777" w:rsidR="00DE4CB1" w:rsidRPr="00DE4CB1" w:rsidRDefault="00DE4CB1" w:rsidP="00DE4CB1">
      <w:pPr>
        <w:rPr>
          <w:rFonts w:ascii="Times New Roman" w:hAnsi="Times New Roman" w:cs="Times New Roman"/>
          <w:sz w:val="24"/>
          <w:szCs w:val="24"/>
        </w:rPr>
      </w:pPr>
      <w:r w:rsidRPr="00DE4CB1">
        <w:rPr>
          <w:rFonts w:ascii="Times New Roman" w:hAnsi="Times New Roman" w:cs="Times New Roman"/>
          <w:sz w:val="24"/>
          <w:szCs w:val="24"/>
        </w:rPr>
        <w:t>Le travail a débuté par l’identification des domaines clés à couvrir : technologies cloud et plateformes data (AWS, Snowflake, Databricks), outils de transformation et de modélisation (dbt, Spark, Kafka), solutions d’IA et de ML (SageMaker, Milvus, LLMs), cadre réglementaire européen et international (RGPD, AI Act, CCPA) ainsi que les enjeux de responsabilité sociétale (RSE numérique, Green AI). Cette étape a aussi permis de définir des critères de sélection des sources : fiabilité, pertinence, fraîcheur des informations et neutralité.</w:t>
      </w:r>
    </w:p>
    <w:p w14:paraId="0A99DAF0" w14:textId="65E043D0" w:rsidR="00DE4CB1" w:rsidRPr="00DE4CB1" w:rsidRDefault="00DE4CB1" w:rsidP="00DE4CB1">
      <w:pPr>
        <w:rPr>
          <w:rFonts w:ascii="Times New Roman" w:hAnsi="Times New Roman" w:cs="Times New Roman"/>
          <w:sz w:val="24"/>
          <w:szCs w:val="24"/>
        </w:rPr>
      </w:pPr>
      <w:r w:rsidRPr="00DE4CB1">
        <w:rPr>
          <w:rFonts w:ascii="Times New Roman" w:hAnsi="Times New Roman" w:cs="Times New Roman"/>
          <w:sz w:val="24"/>
          <w:szCs w:val="24"/>
        </w:rPr>
        <w:t xml:space="preserve">La collecte s’est structurée autour de plusieurs axes. Pour les aspects technologiques, elle s’est appuyée sur les blogs éditeurs, la documentation technique, les notes de version et les annonces de conférences majeures. Pour la réglementation, </w:t>
      </w:r>
      <w:r>
        <w:rPr>
          <w:rFonts w:ascii="Times New Roman" w:hAnsi="Times New Roman" w:cs="Times New Roman"/>
          <w:sz w:val="24"/>
          <w:szCs w:val="24"/>
        </w:rPr>
        <w:t>les informations ont été récoltées depuis</w:t>
      </w:r>
      <w:r w:rsidRPr="00DE4CB1">
        <w:rPr>
          <w:rFonts w:ascii="Times New Roman" w:hAnsi="Times New Roman" w:cs="Times New Roman"/>
          <w:sz w:val="24"/>
          <w:szCs w:val="24"/>
        </w:rPr>
        <w:t xml:space="preserve"> les sites officiels des autorités, les textes législatifs et des analyses d’agences de presse reconnues. Les volets RSE et bonnes pratiques ont été complétés par les publications d’organismes spécialisés et les normes ISO. L’ensemble couvre la période allant de 2023 à novembre 2025.</w:t>
      </w:r>
    </w:p>
    <w:p w14:paraId="4B70E3DB" w14:textId="77777777" w:rsidR="00DE4CB1" w:rsidRPr="00DE4CB1" w:rsidRDefault="00DE4CB1" w:rsidP="00DE4CB1">
      <w:pPr>
        <w:rPr>
          <w:rFonts w:ascii="Times New Roman" w:hAnsi="Times New Roman" w:cs="Times New Roman"/>
          <w:sz w:val="24"/>
          <w:szCs w:val="24"/>
        </w:rPr>
      </w:pPr>
      <w:r w:rsidRPr="00DE4CB1">
        <w:rPr>
          <w:rFonts w:ascii="Times New Roman" w:hAnsi="Times New Roman" w:cs="Times New Roman"/>
          <w:sz w:val="24"/>
          <w:szCs w:val="24"/>
        </w:rPr>
        <w:t>Chaque source a ensuite été analysée selon une grille commune évaluant sa pertinence pour le projet, son actualité, sa fiabilité et ses implications opérationnelles. Cette étape a permis d’établir une synthèse recensant treize sources critiques, leurs points clés, une classification thématique, une évaluation d’impact et des recommandations associées.</w:t>
      </w:r>
    </w:p>
    <w:p w14:paraId="44E22B04" w14:textId="77777777" w:rsidR="00DE4CB1" w:rsidRPr="00DE4CB1" w:rsidRDefault="00DE4CB1" w:rsidP="00DE4CB1">
      <w:pPr>
        <w:rPr>
          <w:rFonts w:ascii="Times New Roman" w:hAnsi="Times New Roman" w:cs="Times New Roman"/>
          <w:sz w:val="24"/>
          <w:szCs w:val="24"/>
        </w:rPr>
      </w:pPr>
      <w:r w:rsidRPr="00DE4CB1">
        <w:rPr>
          <w:rFonts w:ascii="Times New Roman" w:hAnsi="Times New Roman" w:cs="Times New Roman"/>
          <w:sz w:val="24"/>
          <w:szCs w:val="24"/>
        </w:rPr>
        <w:t>Enfin, une phase de consolidation a abouti à la rédaction du document de référence, à la mise en place d’un espace de partage dans Notion et à la définition d’un plan de mise à jour du référentiel.</w:t>
      </w:r>
    </w:p>
    <w:p w14:paraId="2C071BB1" w14:textId="66A61806" w:rsidR="00D1001D" w:rsidRDefault="00D1001D" w:rsidP="00D1001D">
      <w:r w:rsidRPr="00D1001D">
        <w:t> </w:t>
      </w:r>
    </w:p>
    <w:p w14:paraId="4F222CB0" w14:textId="77777777" w:rsidR="00D1001D" w:rsidRDefault="00D1001D" w:rsidP="00D1001D"/>
    <w:p w14:paraId="2BA9E897" w14:textId="77777777" w:rsidR="00244B56" w:rsidRPr="004178D6" w:rsidRDefault="00244B56" w:rsidP="00244B56">
      <w:pPr>
        <w:rPr>
          <w:rFonts w:ascii="Times New Roman" w:hAnsi="Times New Roman" w:cs="Times New Roman"/>
          <w:sz w:val="24"/>
          <w:szCs w:val="24"/>
        </w:rPr>
      </w:pPr>
    </w:p>
    <w:p w14:paraId="509E0797" w14:textId="77777777" w:rsidR="00244B56" w:rsidRPr="004178D6" w:rsidRDefault="00244B56" w:rsidP="00244B56">
      <w:pPr>
        <w:rPr>
          <w:rFonts w:ascii="Times New Roman" w:hAnsi="Times New Roman" w:cs="Times New Roman"/>
          <w:sz w:val="24"/>
          <w:szCs w:val="24"/>
        </w:rPr>
      </w:pPr>
    </w:p>
    <w:p w14:paraId="6ED4E7C2" w14:textId="77777777" w:rsidR="00244B56" w:rsidRPr="004178D6" w:rsidRDefault="00244B56" w:rsidP="00244B56">
      <w:pPr>
        <w:rPr>
          <w:rFonts w:ascii="Times New Roman" w:hAnsi="Times New Roman" w:cs="Times New Roman"/>
          <w:sz w:val="24"/>
          <w:szCs w:val="24"/>
        </w:rPr>
      </w:pPr>
    </w:p>
    <w:p w14:paraId="457C4633" w14:textId="77777777" w:rsidR="00244B56" w:rsidRPr="004178D6" w:rsidRDefault="00244B56" w:rsidP="00244B56">
      <w:pPr>
        <w:rPr>
          <w:rFonts w:ascii="Times New Roman" w:hAnsi="Times New Roman" w:cs="Times New Roman"/>
          <w:sz w:val="24"/>
          <w:szCs w:val="24"/>
        </w:rPr>
      </w:pPr>
    </w:p>
    <w:p w14:paraId="02EF35EE" w14:textId="77777777" w:rsidR="00244B56" w:rsidRPr="004178D6" w:rsidRDefault="00244B56" w:rsidP="00244B56">
      <w:pPr>
        <w:rPr>
          <w:rFonts w:ascii="Times New Roman" w:hAnsi="Times New Roman" w:cs="Times New Roman"/>
          <w:sz w:val="24"/>
          <w:szCs w:val="24"/>
        </w:rPr>
      </w:pPr>
    </w:p>
    <w:p w14:paraId="1CAA6D0E" w14:textId="77777777" w:rsidR="00244B56" w:rsidRPr="004178D6" w:rsidRDefault="00244B56" w:rsidP="00244B56">
      <w:pPr>
        <w:rPr>
          <w:rFonts w:ascii="Times New Roman" w:hAnsi="Times New Roman" w:cs="Times New Roman"/>
          <w:sz w:val="24"/>
          <w:szCs w:val="24"/>
        </w:rPr>
      </w:pPr>
    </w:p>
    <w:p w14:paraId="498EB16C" w14:textId="77777777" w:rsidR="00244B56" w:rsidRPr="004178D6" w:rsidRDefault="00244B56" w:rsidP="00244B56">
      <w:pPr>
        <w:rPr>
          <w:rFonts w:ascii="Times New Roman" w:hAnsi="Times New Roman" w:cs="Times New Roman"/>
          <w:sz w:val="24"/>
          <w:szCs w:val="24"/>
        </w:rPr>
      </w:pPr>
    </w:p>
    <w:p w14:paraId="2C433B9F" w14:textId="36518FA6" w:rsidR="00B259CA" w:rsidRDefault="006C22EB" w:rsidP="00B259CA">
      <w:pPr>
        <w:pStyle w:val="Titre1"/>
        <w:numPr>
          <w:ilvl w:val="0"/>
          <w:numId w:val="3"/>
        </w:numPr>
        <w:rPr>
          <w:rFonts w:ascii="Times New Roman" w:hAnsi="Times New Roman" w:cs="Times New Roman"/>
        </w:rPr>
      </w:pPr>
      <w:bookmarkStart w:id="4" w:name="_Toc215843453"/>
      <w:r w:rsidRPr="004178D6">
        <w:rPr>
          <w:rFonts w:ascii="Times New Roman" w:hAnsi="Times New Roman" w:cs="Times New Roman"/>
        </w:rPr>
        <w:lastRenderedPageBreak/>
        <w:t>Synthèse de la veille technologique</w:t>
      </w:r>
      <w:r w:rsidR="00244B56" w:rsidRPr="004178D6">
        <w:rPr>
          <w:rFonts w:ascii="Times New Roman" w:hAnsi="Times New Roman" w:cs="Times New Roman"/>
        </w:rPr>
        <w:t xml:space="preserve"> et réglementaire</w:t>
      </w:r>
      <w:bookmarkEnd w:id="4"/>
    </w:p>
    <w:p w14:paraId="7EC242A6" w14:textId="6DF29403" w:rsidR="00DE4CB1" w:rsidRPr="00DE4CB1" w:rsidRDefault="00DE4CB1" w:rsidP="00DE4CB1">
      <w:pPr>
        <w:rPr>
          <w:rFonts w:ascii="Times New Roman" w:hAnsi="Times New Roman" w:cs="Times New Roman"/>
          <w:sz w:val="24"/>
          <w:szCs w:val="24"/>
        </w:rPr>
      </w:pPr>
      <w:r w:rsidRPr="00DE4CB1">
        <w:rPr>
          <w:rFonts w:ascii="Times New Roman" w:hAnsi="Times New Roman" w:cs="Times New Roman"/>
          <w:sz w:val="24"/>
          <w:szCs w:val="24"/>
        </w:rPr>
        <w:t>Notre veille statique a permis de couvrir 13 sources majeures réparties sur l'ensemble des domaines critiques</w:t>
      </w:r>
      <w:r>
        <w:rPr>
          <w:rFonts w:ascii="Times New Roman" w:hAnsi="Times New Roman" w:cs="Times New Roman"/>
          <w:sz w:val="24"/>
          <w:szCs w:val="24"/>
        </w:rPr>
        <w:t xml:space="preserve"> cités plus haut</w:t>
      </w:r>
      <w:r w:rsidRPr="00DE4CB1">
        <w:rPr>
          <w:rFonts w:ascii="Times New Roman" w:hAnsi="Times New Roman" w:cs="Times New Roman"/>
          <w:sz w:val="24"/>
          <w:szCs w:val="24"/>
        </w:rPr>
        <w:t>. Cette couverture garantit une vision complète du paysage technologique et réglementaire pertinent pour notre projet.</w:t>
      </w:r>
    </w:p>
    <w:p w14:paraId="1DDF12C4" w14:textId="7953413E" w:rsidR="00ED7829" w:rsidRPr="00D1001D" w:rsidRDefault="00ED7829" w:rsidP="00ED7829">
      <w:pPr>
        <w:rPr>
          <w:rFonts w:ascii="Times New Roman" w:hAnsi="Times New Roman" w:cs="Times New Roman"/>
          <w:sz w:val="24"/>
          <w:szCs w:val="24"/>
        </w:rPr>
      </w:pPr>
      <w:r w:rsidRPr="00D1001D">
        <w:rPr>
          <w:rFonts w:ascii="Times New Roman" w:hAnsi="Times New Roman" w:cs="Times New Roman"/>
          <w:sz w:val="24"/>
          <w:szCs w:val="24"/>
        </w:rPr>
        <w:t>Ce référentiel a directement alimenté plusieurs décisions architecturales critiques</w:t>
      </w:r>
      <w:r>
        <w:rPr>
          <w:rFonts w:ascii="Times New Roman" w:hAnsi="Times New Roman" w:cs="Times New Roman"/>
          <w:sz w:val="24"/>
          <w:szCs w:val="24"/>
        </w:rPr>
        <w:t xml:space="preserve"> concernant le projet</w:t>
      </w:r>
      <w:r w:rsidRPr="00D1001D">
        <w:rPr>
          <w:rFonts w:ascii="Times New Roman" w:hAnsi="Times New Roman" w:cs="Times New Roman"/>
          <w:sz w:val="24"/>
          <w:szCs w:val="24"/>
        </w:rPr>
        <w:t>, notamment le choix d'AWS S3</w:t>
      </w:r>
      <w:r>
        <w:rPr>
          <w:rFonts w:ascii="Times New Roman" w:hAnsi="Times New Roman" w:cs="Times New Roman"/>
          <w:sz w:val="24"/>
          <w:szCs w:val="24"/>
        </w:rPr>
        <w:t xml:space="preserve">, </w:t>
      </w:r>
      <w:r w:rsidRPr="00D1001D">
        <w:rPr>
          <w:rFonts w:ascii="Times New Roman" w:hAnsi="Times New Roman" w:cs="Times New Roman"/>
          <w:sz w:val="24"/>
          <w:szCs w:val="24"/>
        </w:rPr>
        <w:t>la sélection de Snowflake comme data warehous</w:t>
      </w:r>
      <w:r>
        <w:rPr>
          <w:rFonts w:ascii="Times New Roman" w:hAnsi="Times New Roman" w:cs="Times New Roman"/>
          <w:sz w:val="24"/>
          <w:szCs w:val="24"/>
        </w:rPr>
        <w:t xml:space="preserve">e </w:t>
      </w:r>
      <w:r w:rsidRPr="00D1001D">
        <w:rPr>
          <w:rFonts w:ascii="Times New Roman" w:hAnsi="Times New Roman" w:cs="Times New Roman"/>
          <w:sz w:val="24"/>
          <w:szCs w:val="24"/>
        </w:rPr>
        <w:t>et l'adoption des contraintes RGPD et AI Act dès la phase de conception (anonymisation, explicabilité, documentation).</w:t>
      </w:r>
    </w:p>
    <w:p w14:paraId="531C4650" w14:textId="77777777" w:rsidR="00DE4CB1" w:rsidRPr="00ED7829" w:rsidRDefault="00DE4CB1" w:rsidP="00DE4CB1">
      <w:pPr>
        <w:rPr>
          <w:rFonts w:ascii="Times New Roman" w:hAnsi="Times New Roman" w:cs="Times New Roman"/>
          <w:sz w:val="24"/>
          <w:szCs w:val="24"/>
        </w:rPr>
      </w:pPr>
    </w:p>
    <w:p w14:paraId="48CB2A49" w14:textId="1295136A" w:rsidR="006C22EB" w:rsidRPr="004178D6" w:rsidRDefault="0048737A" w:rsidP="006C22EB">
      <w:pPr>
        <w:pStyle w:val="Titre2"/>
        <w:numPr>
          <w:ilvl w:val="1"/>
          <w:numId w:val="3"/>
        </w:numPr>
        <w:rPr>
          <w:rFonts w:ascii="Times New Roman" w:hAnsi="Times New Roman" w:cs="Times New Roman"/>
        </w:rPr>
      </w:pPr>
      <w:bookmarkStart w:id="5" w:name="_Toc215843454"/>
      <w:r w:rsidRPr="004178D6">
        <w:rPr>
          <w:rFonts w:ascii="Times New Roman" w:hAnsi="Times New Roman" w:cs="Times New Roman"/>
        </w:rPr>
        <w:t>Les</w:t>
      </w:r>
      <w:r w:rsidR="006C22EB" w:rsidRPr="004178D6">
        <w:rPr>
          <w:rFonts w:ascii="Times New Roman" w:hAnsi="Times New Roman" w:cs="Times New Roman"/>
        </w:rPr>
        <w:t xml:space="preserve"> tendances observées</w:t>
      </w:r>
      <w:bookmarkEnd w:id="5"/>
    </w:p>
    <w:p w14:paraId="0BDD35D1" w14:textId="77777777" w:rsidR="00B259CA" w:rsidRPr="004178D6" w:rsidRDefault="00B259CA" w:rsidP="00B259CA">
      <w:pPr>
        <w:rPr>
          <w:rFonts w:ascii="Times New Roman" w:hAnsi="Times New Roman" w:cs="Times New Roman"/>
        </w:rPr>
      </w:pPr>
    </w:p>
    <w:tbl>
      <w:tblPr>
        <w:tblW w:w="10490" w:type="dxa"/>
        <w:tblInd w:w="-856" w:type="dxa"/>
        <w:tblLayout w:type="fixed"/>
        <w:tblCellMar>
          <w:left w:w="70" w:type="dxa"/>
          <w:right w:w="70" w:type="dxa"/>
        </w:tblCellMar>
        <w:tblLook w:val="04A0" w:firstRow="1" w:lastRow="0" w:firstColumn="1" w:lastColumn="0" w:noHBand="0" w:noVBand="1"/>
      </w:tblPr>
      <w:tblGrid>
        <w:gridCol w:w="1246"/>
        <w:gridCol w:w="1560"/>
        <w:gridCol w:w="3007"/>
        <w:gridCol w:w="1275"/>
        <w:gridCol w:w="1843"/>
        <w:gridCol w:w="1559"/>
      </w:tblGrid>
      <w:tr w:rsidR="0048737A" w:rsidRPr="004178D6" w14:paraId="603D7C9F" w14:textId="408D3A5A" w:rsidTr="0048737A">
        <w:trPr>
          <w:trHeight w:val="576"/>
        </w:trPr>
        <w:tc>
          <w:tcPr>
            <w:tcW w:w="1246"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7EB72EE9" w14:textId="77777777" w:rsidR="0048737A" w:rsidRPr="00E34951" w:rsidRDefault="0048737A" w:rsidP="00E34951">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E34951">
              <w:rPr>
                <w:rFonts w:ascii="Times New Roman" w:eastAsia="Times New Roman" w:hAnsi="Times New Roman" w:cs="Times New Roman"/>
                <w:b/>
                <w:bCs/>
                <w:color w:val="000000"/>
                <w:kern w:val="0"/>
                <w:sz w:val="24"/>
                <w:szCs w:val="24"/>
                <w:lang w:eastAsia="fr-FR"/>
                <w14:ligatures w14:val="none"/>
              </w:rPr>
              <w:t>Technologie / Texte</w:t>
            </w:r>
          </w:p>
        </w:tc>
        <w:tc>
          <w:tcPr>
            <w:tcW w:w="1560" w:type="dxa"/>
            <w:tcBorders>
              <w:top w:val="single" w:sz="4" w:space="0" w:color="auto"/>
              <w:left w:val="nil"/>
              <w:bottom w:val="single" w:sz="4" w:space="0" w:color="auto"/>
              <w:right w:val="single" w:sz="4" w:space="0" w:color="auto"/>
            </w:tcBorders>
            <w:shd w:val="clear" w:color="000000" w:fill="DAE9F8"/>
            <w:vAlign w:val="center"/>
            <w:hideMark/>
          </w:tcPr>
          <w:p w14:paraId="548FAC89" w14:textId="77777777" w:rsidR="0048737A" w:rsidRPr="00E34951" w:rsidRDefault="0048737A" w:rsidP="00E34951">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E34951">
              <w:rPr>
                <w:rFonts w:ascii="Times New Roman" w:eastAsia="Times New Roman" w:hAnsi="Times New Roman" w:cs="Times New Roman"/>
                <w:b/>
                <w:bCs/>
                <w:color w:val="000000"/>
                <w:kern w:val="0"/>
                <w:sz w:val="24"/>
                <w:szCs w:val="24"/>
                <w:lang w:eastAsia="fr-FR"/>
                <w14:ligatures w14:val="none"/>
              </w:rPr>
              <w:t>Sujet</w:t>
            </w:r>
          </w:p>
        </w:tc>
        <w:tc>
          <w:tcPr>
            <w:tcW w:w="3007" w:type="dxa"/>
            <w:tcBorders>
              <w:top w:val="single" w:sz="4" w:space="0" w:color="auto"/>
              <w:left w:val="nil"/>
              <w:bottom w:val="single" w:sz="4" w:space="0" w:color="auto"/>
              <w:right w:val="single" w:sz="4" w:space="0" w:color="auto"/>
            </w:tcBorders>
            <w:shd w:val="clear" w:color="000000" w:fill="DAE9F8"/>
            <w:vAlign w:val="center"/>
            <w:hideMark/>
          </w:tcPr>
          <w:p w14:paraId="26DAE268" w14:textId="77777777" w:rsidR="0048737A" w:rsidRPr="00E34951" w:rsidRDefault="0048737A" w:rsidP="00E34951">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E34951">
              <w:rPr>
                <w:rFonts w:ascii="Times New Roman" w:eastAsia="Times New Roman" w:hAnsi="Times New Roman" w:cs="Times New Roman"/>
                <w:b/>
                <w:bCs/>
                <w:color w:val="000000"/>
                <w:kern w:val="0"/>
                <w:sz w:val="24"/>
                <w:szCs w:val="24"/>
                <w:lang w:eastAsia="fr-FR"/>
                <w14:ligatures w14:val="none"/>
              </w:rPr>
              <w:t>Points clés</w:t>
            </w:r>
          </w:p>
        </w:tc>
        <w:tc>
          <w:tcPr>
            <w:tcW w:w="1275" w:type="dxa"/>
            <w:tcBorders>
              <w:top w:val="single" w:sz="4" w:space="0" w:color="auto"/>
              <w:left w:val="nil"/>
              <w:bottom w:val="single" w:sz="4" w:space="0" w:color="auto"/>
              <w:right w:val="single" w:sz="4" w:space="0" w:color="auto"/>
            </w:tcBorders>
            <w:shd w:val="clear" w:color="000000" w:fill="DAE9F8"/>
            <w:vAlign w:val="center"/>
            <w:hideMark/>
          </w:tcPr>
          <w:p w14:paraId="362C7311" w14:textId="77777777" w:rsidR="0048737A" w:rsidRPr="00E34951" w:rsidRDefault="0048737A" w:rsidP="00E34951">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E34951">
              <w:rPr>
                <w:rFonts w:ascii="Times New Roman" w:eastAsia="Times New Roman" w:hAnsi="Times New Roman" w:cs="Times New Roman"/>
                <w:b/>
                <w:bCs/>
                <w:color w:val="000000"/>
                <w:kern w:val="0"/>
                <w:sz w:val="24"/>
                <w:szCs w:val="24"/>
                <w:lang w:eastAsia="fr-FR"/>
                <w14:ligatures w14:val="none"/>
              </w:rPr>
              <w:t>Date</w:t>
            </w:r>
          </w:p>
        </w:tc>
        <w:tc>
          <w:tcPr>
            <w:tcW w:w="1843" w:type="dxa"/>
            <w:tcBorders>
              <w:top w:val="single" w:sz="4" w:space="0" w:color="auto"/>
              <w:left w:val="nil"/>
              <w:bottom w:val="single" w:sz="4" w:space="0" w:color="auto"/>
              <w:right w:val="single" w:sz="4" w:space="0" w:color="auto"/>
            </w:tcBorders>
            <w:shd w:val="clear" w:color="000000" w:fill="DAE9F8"/>
            <w:vAlign w:val="center"/>
            <w:hideMark/>
          </w:tcPr>
          <w:p w14:paraId="6247315C" w14:textId="77777777" w:rsidR="0048737A" w:rsidRPr="00E34951" w:rsidRDefault="0048737A" w:rsidP="00E34951">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E34951">
              <w:rPr>
                <w:rFonts w:ascii="Times New Roman" w:eastAsia="Times New Roman" w:hAnsi="Times New Roman" w:cs="Times New Roman"/>
                <w:b/>
                <w:bCs/>
                <w:color w:val="000000"/>
                <w:kern w:val="0"/>
                <w:sz w:val="24"/>
                <w:szCs w:val="24"/>
                <w:lang w:eastAsia="fr-FR"/>
                <w14:ligatures w14:val="none"/>
              </w:rPr>
              <w:t>Source</w:t>
            </w:r>
          </w:p>
        </w:tc>
        <w:tc>
          <w:tcPr>
            <w:tcW w:w="1559" w:type="dxa"/>
            <w:tcBorders>
              <w:top w:val="single" w:sz="4" w:space="0" w:color="auto"/>
              <w:bottom w:val="single" w:sz="4" w:space="0" w:color="auto"/>
              <w:right w:val="single" w:sz="4" w:space="0" w:color="auto"/>
            </w:tcBorders>
            <w:shd w:val="clear" w:color="auto" w:fill="DAE9F7" w:themeFill="text2" w:themeFillTint="1A"/>
          </w:tcPr>
          <w:p w14:paraId="05047247" w14:textId="58B6F69E" w:rsidR="0048737A" w:rsidRPr="004178D6" w:rsidRDefault="0048737A" w:rsidP="00E34951">
            <w:pPr>
              <w:spacing w:after="0" w:line="240" w:lineRule="auto"/>
              <w:jc w:val="center"/>
              <w:rPr>
                <w:rFonts w:ascii="Times New Roman" w:eastAsia="Times New Roman" w:hAnsi="Times New Roman" w:cs="Times New Roman"/>
                <w:b/>
                <w:bCs/>
                <w:color w:val="000000"/>
                <w:kern w:val="0"/>
                <w:sz w:val="24"/>
                <w:szCs w:val="24"/>
                <w:lang w:eastAsia="fr-FR"/>
                <w14:ligatures w14:val="none"/>
              </w:rPr>
            </w:pPr>
            <w:r w:rsidRPr="004178D6">
              <w:rPr>
                <w:rFonts w:ascii="Times New Roman" w:eastAsia="Times New Roman" w:hAnsi="Times New Roman" w:cs="Times New Roman"/>
                <w:b/>
                <w:bCs/>
                <w:color w:val="000000"/>
                <w:kern w:val="0"/>
                <w:sz w:val="24"/>
                <w:szCs w:val="24"/>
                <w:lang w:eastAsia="fr-FR"/>
                <w14:ligatures w14:val="none"/>
              </w:rPr>
              <w:t>Mots-clés utilisés</w:t>
            </w:r>
          </w:p>
        </w:tc>
      </w:tr>
      <w:tr w:rsidR="0048737A" w:rsidRPr="004178D6" w14:paraId="08385F48" w14:textId="16A0D0A2" w:rsidTr="0048737A">
        <w:trPr>
          <w:trHeight w:val="1728"/>
        </w:trPr>
        <w:tc>
          <w:tcPr>
            <w:tcW w:w="1246" w:type="dxa"/>
            <w:tcBorders>
              <w:top w:val="nil"/>
              <w:left w:val="single" w:sz="4" w:space="0" w:color="auto"/>
              <w:bottom w:val="single" w:sz="4" w:space="0" w:color="auto"/>
              <w:right w:val="single" w:sz="4" w:space="0" w:color="auto"/>
            </w:tcBorders>
            <w:vAlign w:val="center"/>
            <w:hideMark/>
          </w:tcPr>
          <w:p w14:paraId="31E2D6AD"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Amazon S3 (Tables, Intelligent-Tiering, features récentes)</w:t>
            </w:r>
          </w:p>
        </w:tc>
        <w:tc>
          <w:tcPr>
            <w:tcW w:w="1560" w:type="dxa"/>
            <w:tcBorders>
              <w:top w:val="nil"/>
              <w:left w:val="nil"/>
              <w:bottom w:val="single" w:sz="4" w:space="0" w:color="auto"/>
              <w:right w:val="single" w:sz="4" w:space="0" w:color="auto"/>
            </w:tcBorders>
            <w:vAlign w:val="center"/>
            <w:hideMark/>
          </w:tcPr>
          <w:p w14:paraId="66526870"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Stockage objet &amp; data-lake</w:t>
            </w:r>
          </w:p>
        </w:tc>
        <w:tc>
          <w:tcPr>
            <w:tcW w:w="3007" w:type="dxa"/>
            <w:tcBorders>
              <w:top w:val="nil"/>
              <w:left w:val="nil"/>
              <w:bottom w:val="single" w:sz="4" w:space="0" w:color="auto"/>
              <w:right w:val="single" w:sz="4" w:space="0" w:color="auto"/>
            </w:tcBorders>
            <w:vAlign w:val="center"/>
            <w:hideMark/>
          </w:tcPr>
          <w:p w14:paraId="027D765F" w14:textId="27B609B9"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 xml:space="preserve">S3 renforce ses capacités data-lake (S3 Tables, intégration Iceberg/compaction, tagging pour ABAC et coût), optimisation des coûts via </w:t>
            </w:r>
            <w:r w:rsidRPr="00E34951">
              <w:rPr>
                <w:rFonts w:ascii="Times New Roman" w:eastAsia="Times New Roman" w:hAnsi="Times New Roman" w:cs="Times New Roman"/>
                <w:i/>
                <w:iCs/>
                <w:color w:val="000000"/>
                <w:kern w:val="0"/>
                <w:sz w:val="24"/>
                <w:szCs w:val="24"/>
                <w:lang w:eastAsia="fr-FR"/>
                <w14:ligatures w14:val="none"/>
              </w:rPr>
              <w:t>Intelligent-Tiering</w:t>
            </w:r>
            <w:r w:rsidRPr="00E34951">
              <w:rPr>
                <w:rFonts w:ascii="Times New Roman" w:eastAsia="Times New Roman" w:hAnsi="Times New Roman" w:cs="Times New Roman"/>
                <w:color w:val="000000"/>
                <w:kern w:val="0"/>
                <w:sz w:val="24"/>
                <w:szCs w:val="24"/>
                <w:lang w:eastAsia="fr-FR"/>
                <w14:ligatures w14:val="none"/>
              </w:rPr>
              <w:t xml:space="preserve"> — utile pour stocker massivement </w:t>
            </w:r>
            <w:r w:rsidRPr="004178D6">
              <w:rPr>
                <w:rFonts w:ascii="Times New Roman" w:eastAsia="Times New Roman" w:hAnsi="Times New Roman" w:cs="Times New Roman"/>
                <w:color w:val="000000"/>
                <w:kern w:val="0"/>
                <w:sz w:val="24"/>
                <w:szCs w:val="24"/>
                <w:lang w:eastAsia="fr-FR"/>
                <w14:ligatures w14:val="none"/>
              </w:rPr>
              <w:t>des données</w:t>
            </w:r>
            <w:r w:rsidRPr="00E34951">
              <w:rPr>
                <w:rFonts w:ascii="Times New Roman" w:eastAsia="Times New Roman" w:hAnsi="Times New Roman" w:cs="Times New Roman"/>
                <w:color w:val="000000"/>
                <w:kern w:val="0"/>
                <w:sz w:val="24"/>
                <w:szCs w:val="24"/>
                <w:lang w:eastAsia="fr-FR"/>
                <w14:ligatures w14:val="none"/>
              </w:rPr>
              <w:t xml:space="preserve"> brut</w:t>
            </w:r>
            <w:r w:rsidRPr="004178D6">
              <w:rPr>
                <w:rFonts w:ascii="Times New Roman" w:eastAsia="Times New Roman" w:hAnsi="Times New Roman" w:cs="Times New Roman"/>
                <w:color w:val="000000"/>
                <w:kern w:val="0"/>
                <w:sz w:val="24"/>
                <w:szCs w:val="24"/>
                <w:lang w:eastAsia="fr-FR"/>
                <w14:ligatures w14:val="none"/>
              </w:rPr>
              <w:t>e</w:t>
            </w:r>
            <w:r w:rsidRPr="00E34951">
              <w:rPr>
                <w:rFonts w:ascii="Times New Roman" w:eastAsia="Times New Roman" w:hAnsi="Times New Roman" w:cs="Times New Roman"/>
                <w:color w:val="000000"/>
                <w:kern w:val="0"/>
                <w:sz w:val="24"/>
                <w:szCs w:val="24"/>
                <w:lang w:eastAsia="fr-FR"/>
                <w14:ligatures w14:val="none"/>
              </w:rPr>
              <w:t>s et histori</w:t>
            </w:r>
            <w:r w:rsidRPr="004178D6">
              <w:rPr>
                <w:rFonts w:ascii="Times New Roman" w:eastAsia="Times New Roman" w:hAnsi="Times New Roman" w:cs="Times New Roman"/>
                <w:color w:val="000000"/>
                <w:kern w:val="0"/>
                <w:sz w:val="24"/>
                <w:szCs w:val="24"/>
                <w:lang w:eastAsia="fr-FR"/>
                <w14:ligatures w14:val="none"/>
              </w:rPr>
              <w:t>ser les données</w:t>
            </w:r>
            <w:r w:rsidRPr="00E34951">
              <w:rPr>
                <w:rFonts w:ascii="Times New Roman" w:eastAsia="Times New Roman" w:hAnsi="Times New Roman" w:cs="Times New Roman"/>
                <w:color w:val="000000"/>
                <w:kern w:val="0"/>
                <w:sz w:val="24"/>
                <w:szCs w:val="24"/>
                <w:lang w:eastAsia="fr-FR"/>
                <w14:ligatures w14:val="none"/>
              </w:rPr>
              <w:t>.</w:t>
            </w:r>
          </w:p>
        </w:tc>
        <w:tc>
          <w:tcPr>
            <w:tcW w:w="1275" w:type="dxa"/>
            <w:tcBorders>
              <w:top w:val="nil"/>
              <w:left w:val="nil"/>
              <w:bottom w:val="single" w:sz="4" w:space="0" w:color="auto"/>
              <w:right w:val="single" w:sz="4" w:space="0" w:color="auto"/>
            </w:tcBorders>
            <w:vAlign w:val="center"/>
            <w:hideMark/>
          </w:tcPr>
          <w:p w14:paraId="2232BA49" w14:textId="77777777" w:rsidR="0048737A" w:rsidRPr="00E34951" w:rsidRDefault="0048737A" w:rsidP="00E34951">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2024–2025</w:t>
            </w:r>
          </w:p>
        </w:tc>
        <w:tc>
          <w:tcPr>
            <w:tcW w:w="1843" w:type="dxa"/>
            <w:tcBorders>
              <w:top w:val="nil"/>
              <w:left w:val="nil"/>
              <w:bottom w:val="single" w:sz="4" w:space="0" w:color="auto"/>
              <w:right w:val="single" w:sz="4" w:space="0" w:color="auto"/>
            </w:tcBorders>
            <w:vAlign w:val="center"/>
            <w:hideMark/>
          </w:tcPr>
          <w:p w14:paraId="0F21369A" w14:textId="179C2BFE"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https://aws.amazon.com/blogs/aws/aws-weekly-roundup-amazon-s3-amazon-ec2-and-more-november-10-2025</w:t>
            </w:r>
            <w:r w:rsidRPr="00E34951">
              <w:rPr>
                <w:rFonts w:ascii="Times New Roman" w:eastAsia="Times New Roman" w:hAnsi="Times New Roman" w:cs="Times New Roman"/>
                <w:color w:val="000000"/>
                <w:kern w:val="0"/>
                <w:sz w:val="24"/>
                <w:szCs w:val="24"/>
                <w:lang w:eastAsia="fr-FR"/>
                <w14:ligatures w14:val="none"/>
              </w:rPr>
              <w:t> </w:t>
            </w:r>
          </w:p>
        </w:tc>
        <w:tc>
          <w:tcPr>
            <w:tcW w:w="1559" w:type="dxa"/>
            <w:tcBorders>
              <w:top w:val="single" w:sz="4" w:space="0" w:color="auto"/>
              <w:bottom w:val="single" w:sz="4" w:space="0" w:color="auto"/>
              <w:right w:val="single" w:sz="4" w:space="0" w:color="auto"/>
            </w:tcBorders>
          </w:tcPr>
          <w:p w14:paraId="32708B3A" w14:textId="3513895F" w:rsidR="0048737A" w:rsidRPr="004178D6"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data lake, cloud storage, optimisation coût</w:t>
            </w:r>
          </w:p>
        </w:tc>
      </w:tr>
      <w:tr w:rsidR="0048737A" w:rsidRPr="00D1001D" w14:paraId="237F7368" w14:textId="229A08A3" w:rsidTr="0048737A">
        <w:trPr>
          <w:trHeight w:val="2244"/>
        </w:trPr>
        <w:tc>
          <w:tcPr>
            <w:tcW w:w="1246" w:type="dxa"/>
            <w:tcBorders>
              <w:top w:val="nil"/>
              <w:left w:val="single" w:sz="4" w:space="0" w:color="auto"/>
              <w:bottom w:val="single" w:sz="4" w:space="0" w:color="auto"/>
              <w:right w:val="single" w:sz="4" w:space="0" w:color="auto"/>
            </w:tcBorders>
            <w:vAlign w:val="center"/>
            <w:hideMark/>
          </w:tcPr>
          <w:p w14:paraId="75ABFC82"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val="en-US" w:eastAsia="fr-FR"/>
                <w14:ligatures w14:val="none"/>
              </w:rPr>
            </w:pPr>
            <w:r w:rsidRPr="00E34951">
              <w:rPr>
                <w:rFonts w:ascii="Times New Roman" w:eastAsia="Times New Roman" w:hAnsi="Times New Roman" w:cs="Times New Roman"/>
                <w:color w:val="000000"/>
                <w:kern w:val="0"/>
                <w:sz w:val="24"/>
                <w:szCs w:val="24"/>
                <w:lang w:val="en-US" w:eastAsia="fr-FR"/>
                <w14:ligatures w14:val="none"/>
              </w:rPr>
              <w:t>Snowflake (AI &amp; data platform évolutive)</w:t>
            </w:r>
          </w:p>
        </w:tc>
        <w:tc>
          <w:tcPr>
            <w:tcW w:w="1560" w:type="dxa"/>
            <w:tcBorders>
              <w:top w:val="nil"/>
              <w:left w:val="nil"/>
              <w:bottom w:val="single" w:sz="4" w:space="0" w:color="auto"/>
              <w:right w:val="single" w:sz="4" w:space="0" w:color="auto"/>
            </w:tcBorders>
            <w:vAlign w:val="center"/>
            <w:hideMark/>
          </w:tcPr>
          <w:p w14:paraId="6202FFA2"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Data warehouse cloud &amp; AI</w:t>
            </w:r>
          </w:p>
        </w:tc>
        <w:tc>
          <w:tcPr>
            <w:tcW w:w="3007" w:type="dxa"/>
            <w:tcBorders>
              <w:top w:val="nil"/>
              <w:left w:val="nil"/>
              <w:bottom w:val="single" w:sz="4" w:space="0" w:color="auto"/>
              <w:right w:val="single" w:sz="4" w:space="0" w:color="auto"/>
            </w:tcBorders>
            <w:vAlign w:val="center"/>
            <w:hideMark/>
          </w:tcPr>
          <w:p w14:paraId="2815E629" w14:textId="45C8F1B5"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Snowflake (annonces Summit 2025) pousse l’intégration AI native, fonctions pour ingestion + gouvernance des données et meilleures capacités pour embeddings / ML, facilitant pipelines d’analyse sans transfert massif hors DW.</w:t>
            </w:r>
          </w:p>
        </w:tc>
        <w:tc>
          <w:tcPr>
            <w:tcW w:w="1275" w:type="dxa"/>
            <w:tcBorders>
              <w:top w:val="nil"/>
              <w:left w:val="nil"/>
              <w:bottom w:val="single" w:sz="4" w:space="0" w:color="auto"/>
              <w:right w:val="single" w:sz="4" w:space="0" w:color="auto"/>
            </w:tcBorders>
            <w:vAlign w:val="center"/>
            <w:hideMark/>
          </w:tcPr>
          <w:p w14:paraId="6B2B737B" w14:textId="77777777" w:rsidR="0048737A" w:rsidRPr="00E34951" w:rsidRDefault="0048737A" w:rsidP="00E34951">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03-juin-25</w:t>
            </w:r>
          </w:p>
        </w:tc>
        <w:tc>
          <w:tcPr>
            <w:tcW w:w="1843" w:type="dxa"/>
            <w:tcBorders>
              <w:top w:val="nil"/>
              <w:left w:val="nil"/>
              <w:bottom w:val="single" w:sz="4" w:space="0" w:color="auto"/>
              <w:right w:val="single" w:sz="4" w:space="0" w:color="auto"/>
            </w:tcBorders>
            <w:vAlign w:val="center"/>
            <w:hideMark/>
          </w:tcPr>
          <w:p w14:paraId="7CFA258C" w14:textId="79951A1F"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 </w:t>
            </w:r>
            <w:r w:rsidRPr="004178D6">
              <w:rPr>
                <w:rFonts w:ascii="Times New Roman" w:eastAsia="Times New Roman" w:hAnsi="Times New Roman" w:cs="Times New Roman"/>
                <w:color w:val="000000"/>
                <w:kern w:val="0"/>
                <w:sz w:val="24"/>
                <w:szCs w:val="24"/>
                <w:lang w:eastAsia="fr-FR"/>
                <w14:ligatures w14:val="none"/>
              </w:rPr>
              <w:t>https://www.snowflake.com/en/blog/announcements-snowflake-summit-2025</w:t>
            </w:r>
          </w:p>
        </w:tc>
        <w:tc>
          <w:tcPr>
            <w:tcW w:w="1559" w:type="dxa"/>
            <w:tcBorders>
              <w:top w:val="single" w:sz="4" w:space="0" w:color="auto"/>
              <w:bottom w:val="single" w:sz="4" w:space="0" w:color="auto"/>
              <w:right w:val="single" w:sz="4" w:space="0" w:color="auto"/>
            </w:tcBorders>
          </w:tcPr>
          <w:p w14:paraId="0A4A2385" w14:textId="17BC2362" w:rsidR="0048737A" w:rsidRPr="004178D6" w:rsidRDefault="0048737A" w:rsidP="00E34951">
            <w:pPr>
              <w:spacing w:after="0" w:line="240" w:lineRule="auto"/>
              <w:rPr>
                <w:rFonts w:ascii="Times New Roman" w:eastAsia="Times New Roman" w:hAnsi="Times New Roman" w:cs="Times New Roman"/>
                <w:color w:val="000000"/>
                <w:kern w:val="0"/>
                <w:sz w:val="24"/>
                <w:szCs w:val="24"/>
                <w:lang w:val="en-US" w:eastAsia="fr-FR"/>
                <w14:ligatures w14:val="none"/>
              </w:rPr>
            </w:pPr>
            <w:r w:rsidRPr="004178D6">
              <w:rPr>
                <w:rFonts w:ascii="Times New Roman" w:eastAsia="Times New Roman" w:hAnsi="Times New Roman" w:cs="Times New Roman"/>
                <w:color w:val="000000"/>
                <w:kern w:val="0"/>
                <w:sz w:val="24"/>
                <w:szCs w:val="24"/>
                <w:lang w:val="en-US" w:eastAsia="fr-FR"/>
                <w14:ligatures w14:val="none"/>
              </w:rPr>
              <w:t>AI, data governance, cloud warehouse, embeddings, LLMs</w:t>
            </w:r>
          </w:p>
        </w:tc>
      </w:tr>
      <w:tr w:rsidR="00192238" w:rsidRPr="00D1001D" w14:paraId="3125E810" w14:textId="77777777" w:rsidTr="0048737A">
        <w:trPr>
          <w:trHeight w:val="2244"/>
        </w:trPr>
        <w:tc>
          <w:tcPr>
            <w:tcW w:w="1246" w:type="dxa"/>
            <w:tcBorders>
              <w:top w:val="nil"/>
              <w:left w:val="single" w:sz="4" w:space="0" w:color="auto"/>
              <w:bottom w:val="single" w:sz="4" w:space="0" w:color="auto"/>
              <w:right w:val="single" w:sz="4" w:space="0" w:color="auto"/>
            </w:tcBorders>
            <w:vAlign w:val="center"/>
          </w:tcPr>
          <w:p w14:paraId="3E0695C4" w14:textId="77777777" w:rsidR="00192238" w:rsidRPr="00192238" w:rsidRDefault="00192238" w:rsidP="00192238">
            <w:pPr>
              <w:spacing w:after="0" w:line="240" w:lineRule="auto"/>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VADER (Valence Aware Dictionary and sEntiment Reasoner)</w:t>
            </w:r>
          </w:p>
          <w:p w14:paraId="4F9026C6" w14:textId="77777777" w:rsidR="00192238" w:rsidRPr="00E34951" w:rsidRDefault="00192238" w:rsidP="00E34951">
            <w:pPr>
              <w:spacing w:after="0" w:line="240" w:lineRule="auto"/>
              <w:rPr>
                <w:rFonts w:ascii="Times New Roman" w:eastAsia="Times New Roman" w:hAnsi="Times New Roman" w:cs="Times New Roman"/>
                <w:color w:val="000000"/>
                <w:kern w:val="0"/>
                <w:sz w:val="24"/>
                <w:szCs w:val="24"/>
                <w:lang w:val="en-US" w:eastAsia="fr-FR"/>
                <w14:ligatures w14:val="none"/>
              </w:rPr>
            </w:pPr>
          </w:p>
        </w:tc>
        <w:tc>
          <w:tcPr>
            <w:tcW w:w="1560" w:type="dxa"/>
            <w:tcBorders>
              <w:top w:val="nil"/>
              <w:left w:val="nil"/>
              <w:bottom w:val="single" w:sz="4" w:space="0" w:color="auto"/>
              <w:right w:val="single" w:sz="4" w:space="0" w:color="auto"/>
            </w:tcBorders>
            <w:vAlign w:val="center"/>
          </w:tcPr>
          <w:p w14:paraId="50244C82" w14:textId="77777777" w:rsidR="00192238" w:rsidRPr="00192238" w:rsidRDefault="00192238" w:rsidP="00192238">
            <w:pPr>
              <w:spacing w:after="0" w:line="240" w:lineRule="auto"/>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Analyse de sentiments (NLP classique)</w:t>
            </w:r>
          </w:p>
          <w:p w14:paraId="682C5E55" w14:textId="1B980A18" w:rsidR="00192238" w:rsidRPr="00E34951" w:rsidRDefault="00192238" w:rsidP="00192238">
            <w:pPr>
              <w:spacing w:after="0" w:line="240" w:lineRule="auto"/>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 </w:t>
            </w:r>
          </w:p>
        </w:tc>
        <w:tc>
          <w:tcPr>
            <w:tcW w:w="3007" w:type="dxa"/>
            <w:tcBorders>
              <w:top w:val="nil"/>
              <w:left w:val="nil"/>
              <w:bottom w:val="single" w:sz="4" w:space="0" w:color="auto"/>
              <w:right w:val="single" w:sz="4" w:space="0" w:color="auto"/>
            </w:tcBorders>
            <w:vAlign w:val="center"/>
          </w:tcPr>
          <w:p w14:paraId="092BCC02" w14:textId="45991268" w:rsidR="00192238" w:rsidRPr="00E34951" w:rsidRDefault="00192238"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VADER est un lexique + règles conçu pour analyser les sentiments dans des textes courts (réseaux sociaux, applications temps réel). Léger, interprétable, performant sans entraînement ML. Très utile pour des pipelines de sentiment rapide (Kafka, Spark, ETL léger)</w:t>
            </w:r>
          </w:p>
        </w:tc>
        <w:tc>
          <w:tcPr>
            <w:tcW w:w="1275" w:type="dxa"/>
            <w:tcBorders>
              <w:top w:val="nil"/>
              <w:left w:val="nil"/>
              <w:bottom w:val="single" w:sz="4" w:space="0" w:color="auto"/>
              <w:right w:val="single" w:sz="4" w:space="0" w:color="auto"/>
            </w:tcBorders>
            <w:vAlign w:val="center"/>
          </w:tcPr>
          <w:p w14:paraId="73B18520" w14:textId="77777777" w:rsidR="00192238" w:rsidRPr="00192238" w:rsidRDefault="00192238" w:rsidP="00192238">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2024–2025</w:t>
            </w:r>
          </w:p>
          <w:p w14:paraId="703E1621" w14:textId="7C4CFF87" w:rsidR="00192238" w:rsidRPr="00E34951" w:rsidRDefault="00192238" w:rsidP="00192238">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 </w:t>
            </w:r>
          </w:p>
        </w:tc>
        <w:tc>
          <w:tcPr>
            <w:tcW w:w="1843" w:type="dxa"/>
            <w:tcBorders>
              <w:top w:val="nil"/>
              <w:left w:val="nil"/>
              <w:bottom w:val="single" w:sz="4" w:space="0" w:color="auto"/>
              <w:right w:val="single" w:sz="4" w:space="0" w:color="auto"/>
            </w:tcBorders>
            <w:vAlign w:val="center"/>
          </w:tcPr>
          <w:p w14:paraId="18E3F30A" w14:textId="11992C61" w:rsidR="00192238" w:rsidRPr="00E34951" w:rsidRDefault="00192238" w:rsidP="00192238">
            <w:pPr>
              <w:spacing w:after="0" w:line="240" w:lineRule="auto"/>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https://vadersentiment.readthedocs.io/en/latest/</w:t>
            </w:r>
          </w:p>
        </w:tc>
        <w:tc>
          <w:tcPr>
            <w:tcW w:w="1559" w:type="dxa"/>
            <w:tcBorders>
              <w:top w:val="single" w:sz="4" w:space="0" w:color="auto"/>
              <w:bottom w:val="single" w:sz="4" w:space="0" w:color="auto"/>
              <w:right w:val="single" w:sz="4" w:space="0" w:color="auto"/>
            </w:tcBorders>
          </w:tcPr>
          <w:p w14:paraId="2EF7EA8B" w14:textId="77777777" w:rsidR="00192238" w:rsidRPr="00192238" w:rsidRDefault="00192238" w:rsidP="00192238">
            <w:pPr>
              <w:spacing w:after="0" w:line="240" w:lineRule="auto"/>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sentiment analysis, lexicon-based, NLP, real-time</w:t>
            </w:r>
          </w:p>
          <w:p w14:paraId="7BEF94A1" w14:textId="77EDA312" w:rsidR="00192238" w:rsidRPr="004178D6" w:rsidRDefault="00192238" w:rsidP="00192238">
            <w:pPr>
              <w:spacing w:after="0" w:line="240" w:lineRule="auto"/>
              <w:rPr>
                <w:rFonts w:ascii="Times New Roman" w:eastAsia="Times New Roman" w:hAnsi="Times New Roman" w:cs="Times New Roman"/>
                <w:color w:val="000000"/>
                <w:kern w:val="0"/>
                <w:sz w:val="24"/>
                <w:szCs w:val="24"/>
                <w:lang w:val="en-US" w:eastAsia="fr-FR"/>
                <w14:ligatures w14:val="none"/>
              </w:rPr>
            </w:pPr>
            <w:r w:rsidRPr="00192238">
              <w:rPr>
                <w:rFonts w:ascii="Times New Roman" w:eastAsia="Times New Roman" w:hAnsi="Times New Roman" w:cs="Times New Roman"/>
                <w:color w:val="000000"/>
                <w:kern w:val="0"/>
                <w:sz w:val="24"/>
                <w:szCs w:val="24"/>
                <w:lang w:eastAsia="fr-FR"/>
                <w14:ligatures w14:val="none"/>
              </w:rPr>
              <w:t> </w:t>
            </w:r>
          </w:p>
        </w:tc>
      </w:tr>
      <w:tr w:rsidR="00192238" w:rsidRPr="00D1001D" w14:paraId="581391B4" w14:textId="77777777" w:rsidTr="0048737A">
        <w:trPr>
          <w:trHeight w:val="2244"/>
        </w:trPr>
        <w:tc>
          <w:tcPr>
            <w:tcW w:w="1246" w:type="dxa"/>
            <w:tcBorders>
              <w:top w:val="nil"/>
              <w:left w:val="single" w:sz="4" w:space="0" w:color="auto"/>
              <w:bottom w:val="single" w:sz="4" w:space="0" w:color="auto"/>
              <w:right w:val="single" w:sz="4" w:space="0" w:color="auto"/>
            </w:tcBorders>
            <w:vAlign w:val="center"/>
          </w:tcPr>
          <w:p w14:paraId="76DFF476" w14:textId="61C07BB7" w:rsidR="00192238" w:rsidRPr="00E34951" w:rsidRDefault="00192238" w:rsidP="00E34951">
            <w:pPr>
              <w:spacing w:after="0" w:line="240" w:lineRule="auto"/>
              <w:rPr>
                <w:rFonts w:ascii="Times New Roman" w:eastAsia="Times New Roman" w:hAnsi="Times New Roman" w:cs="Times New Roman"/>
                <w:color w:val="000000"/>
                <w:kern w:val="0"/>
                <w:sz w:val="24"/>
                <w:szCs w:val="24"/>
                <w:lang w:val="en-US" w:eastAsia="fr-FR"/>
                <w14:ligatures w14:val="none"/>
              </w:rPr>
            </w:pPr>
            <w:r w:rsidRPr="00192238">
              <w:rPr>
                <w:rFonts w:ascii="Times New Roman" w:eastAsia="Times New Roman" w:hAnsi="Times New Roman" w:cs="Times New Roman"/>
                <w:color w:val="000000"/>
                <w:kern w:val="0"/>
                <w:sz w:val="24"/>
                <w:szCs w:val="24"/>
                <w:lang w:eastAsia="fr-FR"/>
                <w14:ligatures w14:val="none"/>
              </w:rPr>
              <w:lastRenderedPageBreak/>
              <w:t>Zero-shot Classification (transformers / LLM)</w:t>
            </w:r>
          </w:p>
        </w:tc>
        <w:tc>
          <w:tcPr>
            <w:tcW w:w="1560" w:type="dxa"/>
            <w:tcBorders>
              <w:top w:val="nil"/>
              <w:left w:val="nil"/>
              <w:bottom w:val="single" w:sz="4" w:space="0" w:color="auto"/>
              <w:right w:val="single" w:sz="4" w:space="0" w:color="auto"/>
            </w:tcBorders>
            <w:vAlign w:val="center"/>
          </w:tcPr>
          <w:p w14:paraId="20944764" w14:textId="77777777" w:rsidR="00192238" w:rsidRPr="00192238" w:rsidRDefault="00192238" w:rsidP="00192238">
            <w:pPr>
              <w:spacing w:after="0" w:line="240" w:lineRule="auto"/>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Classification thématique &amp; NLP avancé</w:t>
            </w:r>
          </w:p>
          <w:p w14:paraId="08B254A6" w14:textId="73837E53" w:rsidR="00192238" w:rsidRPr="00E34951" w:rsidRDefault="00192238" w:rsidP="00192238">
            <w:pPr>
              <w:spacing w:after="0" w:line="240" w:lineRule="auto"/>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 </w:t>
            </w:r>
          </w:p>
        </w:tc>
        <w:tc>
          <w:tcPr>
            <w:tcW w:w="3007" w:type="dxa"/>
            <w:tcBorders>
              <w:top w:val="nil"/>
              <w:left w:val="nil"/>
              <w:bottom w:val="single" w:sz="4" w:space="0" w:color="auto"/>
              <w:right w:val="single" w:sz="4" w:space="0" w:color="auto"/>
            </w:tcBorders>
            <w:vAlign w:val="center"/>
          </w:tcPr>
          <w:p w14:paraId="1BC943E6" w14:textId="77777777" w:rsidR="00192238" w:rsidRPr="00192238" w:rsidRDefault="00192238" w:rsidP="00192238">
            <w:pPr>
              <w:spacing w:after="0" w:line="240" w:lineRule="auto"/>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Les modèles zero-shot, basés sur des architectures type LLM/transformers, permettent d’étiqueter du texte sans entraînement supervisé. Très utile pour catégoriser contenus, détecter intentions, analyser sujets/émotions à grande échelle (pipeline ML, embeddings, lakehouse).</w:t>
            </w:r>
          </w:p>
          <w:p w14:paraId="3C66087F" w14:textId="133E86AE" w:rsidR="00192238" w:rsidRPr="00E34951" w:rsidRDefault="00192238" w:rsidP="00192238">
            <w:pPr>
              <w:spacing w:after="0" w:line="240" w:lineRule="auto"/>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 </w:t>
            </w:r>
          </w:p>
        </w:tc>
        <w:tc>
          <w:tcPr>
            <w:tcW w:w="1275" w:type="dxa"/>
            <w:tcBorders>
              <w:top w:val="nil"/>
              <w:left w:val="nil"/>
              <w:bottom w:val="single" w:sz="4" w:space="0" w:color="auto"/>
              <w:right w:val="single" w:sz="4" w:space="0" w:color="auto"/>
            </w:tcBorders>
            <w:vAlign w:val="center"/>
          </w:tcPr>
          <w:p w14:paraId="630C6BCF" w14:textId="77777777" w:rsidR="00192238" w:rsidRPr="00192238" w:rsidRDefault="00192238" w:rsidP="00192238">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2024–2025</w:t>
            </w:r>
          </w:p>
          <w:p w14:paraId="3160BFB6" w14:textId="6E90E200" w:rsidR="00192238" w:rsidRPr="00E34951" w:rsidRDefault="00192238" w:rsidP="00192238">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 </w:t>
            </w:r>
          </w:p>
        </w:tc>
        <w:tc>
          <w:tcPr>
            <w:tcW w:w="1843" w:type="dxa"/>
            <w:tcBorders>
              <w:top w:val="nil"/>
              <w:left w:val="nil"/>
              <w:bottom w:val="single" w:sz="4" w:space="0" w:color="auto"/>
              <w:right w:val="single" w:sz="4" w:space="0" w:color="auto"/>
            </w:tcBorders>
            <w:vAlign w:val="center"/>
          </w:tcPr>
          <w:p w14:paraId="67A77F35" w14:textId="2121F8B0" w:rsidR="00192238" w:rsidRPr="00E34951" w:rsidRDefault="00192238" w:rsidP="00192238">
            <w:pPr>
              <w:spacing w:after="0" w:line="240" w:lineRule="auto"/>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http://huggingface.co/tasks/zero-shot-classification </w:t>
            </w:r>
          </w:p>
        </w:tc>
        <w:tc>
          <w:tcPr>
            <w:tcW w:w="1559" w:type="dxa"/>
            <w:tcBorders>
              <w:top w:val="single" w:sz="4" w:space="0" w:color="auto"/>
              <w:bottom w:val="single" w:sz="4" w:space="0" w:color="auto"/>
              <w:right w:val="single" w:sz="4" w:space="0" w:color="auto"/>
            </w:tcBorders>
          </w:tcPr>
          <w:p w14:paraId="1DB9D3DB" w14:textId="77777777" w:rsidR="00192238" w:rsidRPr="00192238" w:rsidRDefault="00192238" w:rsidP="00192238">
            <w:pPr>
              <w:spacing w:after="0" w:line="240" w:lineRule="auto"/>
              <w:rPr>
                <w:rFonts w:ascii="Times New Roman" w:eastAsia="Times New Roman" w:hAnsi="Times New Roman" w:cs="Times New Roman"/>
                <w:color w:val="000000"/>
                <w:kern w:val="0"/>
                <w:sz w:val="24"/>
                <w:szCs w:val="24"/>
                <w:lang w:eastAsia="fr-FR"/>
                <w14:ligatures w14:val="none"/>
              </w:rPr>
            </w:pPr>
            <w:r w:rsidRPr="00192238">
              <w:rPr>
                <w:rFonts w:ascii="Times New Roman" w:eastAsia="Times New Roman" w:hAnsi="Times New Roman" w:cs="Times New Roman"/>
                <w:color w:val="000000"/>
                <w:kern w:val="0"/>
                <w:sz w:val="24"/>
                <w:szCs w:val="24"/>
                <w:lang w:eastAsia="fr-FR"/>
                <w14:ligatures w14:val="none"/>
              </w:rPr>
              <w:t>zero-shot, NLP, LLM, classification, embeddings, topic modeling</w:t>
            </w:r>
          </w:p>
          <w:p w14:paraId="1FC80925" w14:textId="7D0134DF" w:rsidR="00192238" w:rsidRPr="004178D6" w:rsidRDefault="00192238" w:rsidP="00192238">
            <w:pPr>
              <w:spacing w:after="0" w:line="240" w:lineRule="auto"/>
              <w:rPr>
                <w:rFonts w:ascii="Times New Roman" w:eastAsia="Times New Roman" w:hAnsi="Times New Roman" w:cs="Times New Roman"/>
                <w:color w:val="000000"/>
                <w:kern w:val="0"/>
                <w:sz w:val="24"/>
                <w:szCs w:val="24"/>
                <w:lang w:val="en-US" w:eastAsia="fr-FR"/>
                <w14:ligatures w14:val="none"/>
              </w:rPr>
            </w:pPr>
            <w:r w:rsidRPr="00192238">
              <w:rPr>
                <w:rFonts w:ascii="Times New Roman" w:eastAsia="Times New Roman" w:hAnsi="Times New Roman" w:cs="Times New Roman"/>
                <w:color w:val="000000"/>
                <w:kern w:val="0"/>
                <w:sz w:val="24"/>
                <w:szCs w:val="24"/>
                <w:lang w:eastAsia="fr-FR"/>
                <w14:ligatures w14:val="none"/>
              </w:rPr>
              <w:t> </w:t>
            </w:r>
          </w:p>
        </w:tc>
      </w:tr>
      <w:tr w:rsidR="0048737A" w:rsidRPr="00D1001D" w14:paraId="63FFD1E4" w14:textId="594151AC" w:rsidTr="0048737A">
        <w:trPr>
          <w:trHeight w:val="1728"/>
        </w:trPr>
        <w:tc>
          <w:tcPr>
            <w:tcW w:w="1246" w:type="dxa"/>
            <w:tcBorders>
              <w:top w:val="nil"/>
              <w:left w:val="single" w:sz="4" w:space="0" w:color="auto"/>
              <w:bottom w:val="single" w:sz="4" w:space="0" w:color="auto"/>
              <w:right w:val="single" w:sz="4" w:space="0" w:color="auto"/>
            </w:tcBorders>
            <w:vAlign w:val="center"/>
            <w:hideMark/>
          </w:tcPr>
          <w:p w14:paraId="6B7B26E2"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dbt (Data Build Tool)</w:t>
            </w:r>
          </w:p>
        </w:tc>
        <w:tc>
          <w:tcPr>
            <w:tcW w:w="1560" w:type="dxa"/>
            <w:tcBorders>
              <w:top w:val="nil"/>
              <w:left w:val="nil"/>
              <w:bottom w:val="single" w:sz="4" w:space="0" w:color="auto"/>
              <w:right w:val="single" w:sz="4" w:space="0" w:color="auto"/>
            </w:tcBorders>
            <w:vAlign w:val="center"/>
            <w:hideMark/>
          </w:tcPr>
          <w:p w14:paraId="6E8F9E97"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Modélisation ELT et gouvernance SQL</w:t>
            </w:r>
          </w:p>
        </w:tc>
        <w:tc>
          <w:tcPr>
            <w:tcW w:w="3007" w:type="dxa"/>
            <w:tcBorders>
              <w:top w:val="nil"/>
              <w:left w:val="nil"/>
              <w:bottom w:val="single" w:sz="4" w:space="0" w:color="auto"/>
              <w:right w:val="single" w:sz="4" w:space="0" w:color="auto"/>
            </w:tcBorders>
            <w:vAlign w:val="center"/>
            <w:hideMark/>
          </w:tcPr>
          <w:p w14:paraId="16C3F5AD" w14:textId="5B2EC871"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dbt continue d’évoluer (release notes 2025) : meilleures performances, intégrations cloud, gestion du lineage et tests data — excellent pour stabiliser transformations et réutilisabilité de modèles analytiques.</w:t>
            </w:r>
          </w:p>
        </w:tc>
        <w:tc>
          <w:tcPr>
            <w:tcW w:w="1275" w:type="dxa"/>
            <w:tcBorders>
              <w:top w:val="nil"/>
              <w:left w:val="nil"/>
              <w:bottom w:val="single" w:sz="4" w:space="0" w:color="auto"/>
              <w:right w:val="single" w:sz="4" w:space="0" w:color="auto"/>
            </w:tcBorders>
            <w:vAlign w:val="center"/>
            <w:hideMark/>
          </w:tcPr>
          <w:p w14:paraId="76B4BA32" w14:textId="77777777" w:rsidR="0048737A" w:rsidRPr="00E34951" w:rsidRDefault="0048737A" w:rsidP="00E34951">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nov-25</w:t>
            </w:r>
          </w:p>
        </w:tc>
        <w:tc>
          <w:tcPr>
            <w:tcW w:w="1843" w:type="dxa"/>
            <w:tcBorders>
              <w:top w:val="nil"/>
              <w:left w:val="nil"/>
              <w:bottom w:val="single" w:sz="4" w:space="0" w:color="auto"/>
              <w:right w:val="single" w:sz="4" w:space="0" w:color="auto"/>
            </w:tcBorders>
            <w:vAlign w:val="center"/>
            <w:hideMark/>
          </w:tcPr>
          <w:p w14:paraId="0E5813E4" w14:textId="1C77E0C0"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https://docs.getdbt.com/docs/dbt-versions/dbt-cloud-release-notes</w:t>
            </w:r>
            <w:r w:rsidRPr="00E34951">
              <w:rPr>
                <w:rFonts w:ascii="Times New Roman" w:eastAsia="Times New Roman" w:hAnsi="Times New Roman" w:cs="Times New Roman"/>
                <w:color w:val="000000"/>
                <w:kern w:val="0"/>
                <w:sz w:val="24"/>
                <w:szCs w:val="24"/>
                <w:lang w:eastAsia="fr-FR"/>
                <w14:ligatures w14:val="none"/>
              </w:rPr>
              <w:t> </w:t>
            </w:r>
          </w:p>
        </w:tc>
        <w:tc>
          <w:tcPr>
            <w:tcW w:w="1559" w:type="dxa"/>
            <w:tcBorders>
              <w:top w:val="single" w:sz="4" w:space="0" w:color="auto"/>
              <w:bottom w:val="single" w:sz="4" w:space="0" w:color="auto"/>
              <w:right w:val="single" w:sz="4" w:space="0" w:color="auto"/>
            </w:tcBorders>
          </w:tcPr>
          <w:p w14:paraId="39E721B4" w14:textId="2908C3A2" w:rsidR="0048737A" w:rsidRPr="004178D6" w:rsidRDefault="0048737A" w:rsidP="00E34951">
            <w:pPr>
              <w:spacing w:after="0" w:line="240" w:lineRule="auto"/>
              <w:rPr>
                <w:rFonts w:ascii="Times New Roman" w:eastAsia="Times New Roman" w:hAnsi="Times New Roman" w:cs="Times New Roman"/>
                <w:color w:val="000000"/>
                <w:kern w:val="0"/>
                <w:sz w:val="24"/>
                <w:szCs w:val="24"/>
                <w:lang w:val="en-US" w:eastAsia="fr-FR"/>
                <w14:ligatures w14:val="none"/>
              </w:rPr>
            </w:pPr>
            <w:r w:rsidRPr="004178D6">
              <w:rPr>
                <w:rFonts w:ascii="Times New Roman" w:eastAsia="Times New Roman" w:hAnsi="Times New Roman" w:cs="Times New Roman"/>
                <w:color w:val="000000"/>
                <w:kern w:val="0"/>
                <w:sz w:val="24"/>
                <w:szCs w:val="24"/>
                <w:lang w:val="en-US" w:eastAsia="fr-FR"/>
                <w14:ligatures w14:val="none"/>
              </w:rPr>
              <w:t>data lineage, SQL pipeline, data quality</w:t>
            </w:r>
          </w:p>
        </w:tc>
      </w:tr>
      <w:tr w:rsidR="0048737A" w:rsidRPr="00D1001D" w14:paraId="2F40C6D0" w14:textId="7304D7A5" w:rsidTr="0048737A">
        <w:trPr>
          <w:trHeight w:val="1440"/>
        </w:trPr>
        <w:tc>
          <w:tcPr>
            <w:tcW w:w="1246" w:type="dxa"/>
            <w:tcBorders>
              <w:top w:val="nil"/>
              <w:left w:val="single" w:sz="4" w:space="0" w:color="auto"/>
              <w:bottom w:val="single" w:sz="4" w:space="0" w:color="auto"/>
              <w:right w:val="single" w:sz="4" w:space="0" w:color="auto"/>
            </w:tcBorders>
            <w:vAlign w:val="center"/>
            <w:hideMark/>
          </w:tcPr>
          <w:p w14:paraId="6823FD47"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Apache Spark (moteur de calcul distribué)</w:t>
            </w:r>
          </w:p>
        </w:tc>
        <w:tc>
          <w:tcPr>
            <w:tcW w:w="1560" w:type="dxa"/>
            <w:tcBorders>
              <w:top w:val="nil"/>
              <w:left w:val="nil"/>
              <w:bottom w:val="single" w:sz="4" w:space="0" w:color="auto"/>
              <w:right w:val="single" w:sz="4" w:space="0" w:color="auto"/>
            </w:tcBorders>
            <w:vAlign w:val="center"/>
            <w:hideMark/>
          </w:tcPr>
          <w:p w14:paraId="47B88ABF"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Traitement Big Data / ETL distribué</w:t>
            </w:r>
          </w:p>
        </w:tc>
        <w:tc>
          <w:tcPr>
            <w:tcW w:w="3007" w:type="dxa"/>
            <w:tcBorders>
              <w:top w:val="nil"/>
              <w:left w:val="nil"/>
              <w:bottom w:val="single" w:sz="4" w:space="0" w:color="auto"/>
              <w:right w:val="single" w:sz="4" w:space="0" w:color="auto"/>
            </w:tcBorders>
            <w:vAlign w:val="center"/>
            <w:hideMark/>
          </w:tcPr>
          <w:p w14:paraId="0DAFA831"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Spark 3.x améliore performance, intégration ML et compatibilité avec moteurs modernes (optimisations pour ETL massif) — choix classique pour transformations NLP à grande échelle.</w:t>
            </w:r>
          </w:p>
        </w:tc>
        <w:tc>
          <w:tcPr>
            <w:tcW w:w="1275" w:type="dxa"/>
            <w:tcBorders>
              <w:top w:val="nil"/>
              <w:left w:val="nil"/>
              <w:bottom w:val="single" w:sz="4" w:space="0" w:color="auto"/>
              <w:right w:val="single" w:sz="4" w:space="0" w:color="auto"/>
            </w:tcBorders>
            <w:vAlign w:val="center"/>
            <w:hideMark/>
          </w:tcPr>
          <w:p w14:paraId="26D41B5F" w14:textId="77777777" w:rsidR="0048737A" w:rsidRPr="00E34951" w:rsidRDefault="0048737A" w:rsidP="00E34951">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2023–2025</w:t>
            </w:r>
          </w:p>
        </w:tc>
        <w:tc>
          <w:tcPr>
            <w:tcW w:w="1843" w:type="dxa"/>
            <w:tcBorders>
              <w:top w:val="nil"/>
              <w:left w:val="nil"/>
              <w:bottom w:val="single" w:sz="4" w:space="0" w:color="auto"/>
              <w:right w:val="single" w:sz="4" w:space="0" w:color="auto"/>
            </w:tcBorders>
            <w:vAlign w:val="center"/>
            <w:hideMark/>
          </w:tcPr>
          <w:p w14:paraId="322ACE80" w14:textId="47E3B873"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https://spark.apache.org/news</w:t>
            </w:r>
          </w:p>
        </w:tc>
        <w:tc>
          <w:tcPr>
            <w:tcW w:w="1559" w:type="dxa"/>
            <w:tcBorders>
              <w:top w:val="single" w:sz="4" w:space="0" w:color="auto"/>
              <w:bottom w:val="single" w:sz="4" w:space="0" w:color="auto"/>
              <w:right w:val="single" w:sz="4" w:space="0" w:color="auto"/>
            </w:tcBorders>
          </w:tcPr>
          <w:p w14:paraId="1BD1CC4E" w14:textId="473166DC" w:rsidR="0048737A" w:rsidRPr="004178D6" w:rsidRDefault="0048737A" w:rsidP="00E34951">
            <w:pPr>
              <w:spacing w:after="0" w:line="240" w:lineRule="auto"/>
              <w:rPr>
                <w:rFonts w:ascii="Times New Roman" w:eastAsia="Times New Roman" w:hAnsi="Times New Roman" w:cs="Times New Roman"/>
                <w:color w:val="000000"/>
                <w:kern w:val="0"/>
                <w:sz w:val="24"/>
                <w:szCs w:val="24"/>
                <w:lang w:val="en-US" w:eastAsia="fr-FR"/>
                <w14:ligatures w14:val="none"/>
              </w:rPr>
            </w:pPr>
            <w:r w:rsidRPr="004178D6">
              <w:rPr>
                <w:rFonts w:ascii="Times New Roman" w:eastAsia="Times New Roman" w:hAnsi="Times New Roman" w:cs="Times New Roman"/>
                <w:color w:val="000000"/>
                <w:kern w:val="0"/>
                <w:sz w:val="24"/>
                <w:szCs w:val="24"/>
                <w:lang w:val="en-US" w:eastAsia="fr-FR"/>
                <w14:ligatures w14:val="none"/>
              </w:rPr>
              <w:t>ETL, big data, distributed computing, NLP pipeline</w:t>
            </w:r>
          </w:p>
        </w:tc>
      </w:tr>
      <w:tr w:rsidR="0048737A" w:rsidRPr="00D1001D" w14:paraId="5D8EBE3E" w14:textId="5A978D73" w:rsidTr="0048737A">
        <w:trPr>
          <w:trHeight w:val="1440"/>
        </w:trPr>
        <w:tc>
          <w:tcPr>
            <w:tcW w:w="1246" w:type="dxa"/>
            <w:tcBorders>
              <w:top w:val="nil"/>
              <w:left w:val="single" w:sz="4" w:space="0" w:color="auto"/>
              <w:bottom w:val="single" w:sz="4" w:space="0" w:color="auto"/>
              <w:right w:val="single" w:sz="4" w:space="0" w:color="auto"/>
            </w:tcBorders>
            <w:vAlign w:val="center"/>
            <w:hideMark/>
          </w:tcPr>
          <w:p w14:paraId="6317E9E2"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Apache Kafka / Amazon MSK</w:t>
            </w:r>
          </w:p>
        </w:tc>
        <w:tc>
          <w:tcPr>
            <w:tcW w:w="1560" w:type="dxa"/>
            <w:tcBorders>
              <w:top w:val="nil"/>
              <w:left w:val="nil"/>
              <w:bottom w:val="single" w:sz="4" w:space="0" w:color="auto"/>
              <w:right w:val="single" w:sz="4" w:space="0" w:color="auto"/>
            </w:tcBorders>
            <w:vAlign w:val="center"/>
            <w:hideMark/>
          </w:tcPr>
          <w:p w14:paraId="27747884"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Bus d’événements et ingestion temps réel</w:t>
            </w:r>
          </w:p>
        </w:tc>
        <w:tc>
          <w:tcPr>
            <w:tcW w:w="3007" w:type="dxa"/>
            <w:tcBorders>
              <w:top w:val="nil"/>
              <w:left w:val="nil"/>
              <w:bottom w:val="single" w:sz="4" w:space="0" w:color="auto"/>
              <w:right w:val="single" w:sz="4" w:space="0" w:color="auto"/>
            </w:tcBorders>
            <w:vAlign w:val="center"/>
            <w:hideMark/>
          </w:tcPr>
          <w:p w14:paraId="3A402BA2" w14:textId="32E00B62"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 xml:space="preserve">Kafka (versions 2024–2025) et offres managées (MSK) permettent ingestion continue </w:t>
            </w:r>
            <w:r w:rsidRPr="004178D6">
              <w:rPr>
                <w:rFonts w:ascii="Times New Roman" w:eastAsia="Times New Roman" w:hAnsi="Times New Roman" w:cs="Times New Roman"/>
                <w:color w:val="000000"/>
                <w:kern w:val="0"/>
                <w:sz w:val="24"/>
                <w:szCs w:val="24"/>
                <w:lang w:eastAsia="fr-FR"/>
                <w14:ligatures w14:val="none"/>
              </w:rPr>
              <w:t>des données</w:t>
            </w:r>
            <w:r w:rsidRPr="00E34951">
              <w:rPr>
                <w:rFonts w:ascii="Times New Roman" w:eastAsia="Times New Roman" w:hAnsi="Times New Roman" w:cs="Times New Roman"/>
                <w:color w:val="000000"/>
                <w:kern w:val="0"/>
                <w:sz w:val="24"/>
                <w:szCs w:val="24"/>
                <w:lang w:eastAsia="fr-FR"/>
                <w14:ligatures w14:val="none"/>
              </w:rPr>
              <w:t xml:space="preserve"> et logs, résilience et faible latence pour pipelines temps-réel (sentiment en near-real time).</w:t>
            </w:r>
          </w:p>
        </w:tc>
        <w:tc>
          <w:tcPr>
            <w:tcW w:w="1275" w:type="dxa"/>
            <w:tcBorders>
              <w:top w:val="nil"/>
              <w:left w:val="nil"/>
              <w:bottom w:val="single" w:sz="4" w:space="0" w:color="auto"/>
              <w:right w:val="single" w:sz="4" w:space="0" w:color="auto"/>
            </w:tcBorders>
            <w:vAlign w:val="center"/>
            <w:hideMark/>
          </w:tcPr>
          <w:p w14:paraId="4AD6AADC" w14:textId="77777777" w:rsidR="0048737A" w:rsidRPr="00E34951" w:rsidRDefault="0048737A" w:rsidP="00E34951">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2024–mai 2025</w:t>
            </w:r>
          </w:p>
        </w:tc>
        <w:tc>
          <w:tcPr>
            <w:tcW w:w="1843" w:type="dxa"/>
            <w:tcBorders>
              <w:top w:val="nil"/>
              <w:left w:val="nil"/>
              <w:bottom w:val="single" w:sz="4" w:space="0" w:color="auto"/>
              <w:right w:val="single" w:sz="4" w:space="0" w:color="auto"/>
            </w:tcBorders>
            <w:vAlign w:val="center"/>
            <w:hideMark/>
          </w:tcPr>
          <w:p w14:paraId="28659EED" w14:textId="1F675CD6" w:rsidR="0048737A" w:rsidRPr="00E34951" w:rsidRDefault="0048737A" w:rsidP="00E34951">
            <w:pPr>
              <w:spacing w:after="0" w:line="240" w:lineRule="auto"/>
              <w:rPr>
                <w:rFonts w:ascii="Times New Roman" w:eastAsia="Times New Roman" w:hAnsi="Times New Roman" w:cs="Times New Roman"/>
                <w:color w:val="000000"/>
                <w:kern w:val="0"/>
                <w:sz w:val="24"/>
                <w:szCs w:val="24"/>
                <w:lang w:val="en-US" w:eastAsia="fr-FR"/>
                <w14:ligatures w14:val="none"/>
              </w:rPr>
            </w:pPr>
            <w:r w:rsidRPr="004178D6">
              <w:rPr>
                <w:rFonts w:ascii="Times New Roman" w:eastAsia="Times New Roman" w:hAnsi="Times New Roman" w:cs="Times New Roman"/>
                <w:color w:val="000000"/>
                <w:kern w:val="0"/>
                <w:sz w:val="24"/>
                <w:szCs w:val="24"/>
                <w:lang w:val="en-US" w:eastAsia="fr-FR"/>
                <w14:ligatures w14:val="none"/>
              </w:rPr>
              <w:t>RN : https://kafka.apache.org/downloads</w:t>
            </w:r>
            <w:r w:rsidRPr="00E34951">
              <w:rPr>
                <w:rFonts w:ascii="Times New Roman" w:eastAsia="Times New Roman" w:hAnsi="Times New Roman" w:cs="Times New Roman"/>
                <w:color w:val="000000"/>
                <w:kern w:val="0"/>
                <w:sz w:val="24"/>
                <w:szCs w:val="24"/>
                <w:lang w:val="en-US" w:eastAsia="fr-FR"/>
                <w14:ligatures w14:val="none"/>
              </w:rPr>
              <w:t> </w:t>
            </w:r>
          </w:p>
        </w:tc>
        <w:tc>
          <w:tcPr>
            <w:tcW w:w="1559" w:type="dxa"/>
            <w:tcBorders>
              <w:top w:val="single" w:sz="4" w:space="0" w:color="auto"/>
              <w:bottom w:val="single" w:sz="4" w:space="0" w:color="auto"/>
              <w:right w:val="single" w:sz="4" w:space="0" w:color="auto"/>
            </w:tcBorders>
          </w:tcPr>
          <w:p w14:paraId="031A48B3" w14:textId="4B3E8BF5" w:rsidR="0048737A" w:rsidRPr="004178D6" w:rsidRDefault="0048737A" w:rsidP="00E34951">
            <w:pPr>
              <w:spacing w:after="0" w:line="240" w:lineRule="auto"/>
              <w:rPr>
                <w:rFonts w:ascii="Times New Roman" w:eastAsia="Times New Roman" w:hAnsi="Times New Roman" w:cs="Times New Roman"/>
                <w:color w:val="000000"/>
                <w:kern w:val="0"/>
                <w:sz w:val="24"/>
                <w:szCs w:val="24"/>
                <w:lang w:val="en-US" w:eastAsia="fr-FR"/>
                <w14:ligatures w14:val="none"/>
              </w:rPr>
            </w:pPr>
            <w:r w:rsidRPr="004178D6">
              <w:rPr>
                <w:rFonts w:ascii="Times New Roman" w:eastAsia="Times New Roman" w:hAnsi="Times New Roman" w:cs="Times New Roman"/>
                <w:color w:val="000000"/>
                <w:kern w:val="0"/>
                <w:sz w:val="24"/>
                <w:szCs w:val="24"/>
                <w:lang w:val="en-US" w:eastAsia="fr-FR"/>
                <w14:ligatures w14:val="none"/>
              </w:rPr>
              <w:t>streaming, event bus, MSK, ingestion temps réel</w:t>
            </w:r>
          </w:p>
        </w:tc>
      </w:tr>
      <w:tr w:rsidR="0048737A" w:rsidRPr="00D1001D" w14:paraId="4F80FEE4" w14:textId="2263BF4A" w:rsidTr="0048737A">
        <w:trPr>
          <w:trHeight w:val="1440"/>
        </w:trPr>
        <w:tc>
          <w:tcPr>
            <w:tcW w:w="1246" w:type="dxa"/>
            <w:tcBorders>
              <w:top w:val="nil"/>
              <w:left w:val="single" w:sz="4" w:space="0" w:color="auto"/>
              <w:bottom w:val="single" w:sz="4" w:space="0" w:color="auto"/>
              <w:right w:val="single" w:sz="4" w:space="0" w:color="auto"/>
            </w:tcBorders>
            <w:vAlign w:val="center"/>
            <w:hideMark/>
          </w:tcPr>
          <w:p w14:paraId="482529B0"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val="en-US" w:eastAsia="fr-FR"/>
                <w14:ligatures w14:val="none"/>
              </w:rPr>
            </w:pPr>
            <w:r w:rsidRPr="00E34951">
              <w:rPr>
                <w:rFonts w:ascii="Times New Roman" w:eastAsia="Times New Roman" w:hAnsi="Times New Roman" w:cs="Times New Roman"/>
                <w:color w:val="000000"/>
                <w:kern w:val="0"/>
                <w:sz w:val="24"/>
                <w:szCs w:val="24"/>
                <w:lang w:val="en-US" w:eastAsia="fr-FR"/>
                <w14:ligatures w14:val="none"/>
              </w:rPr>
              <w:t>Databricks (Unity Catalog, Lakehouse features)</w:t>
            </w:r>
          </w:p>
        </w:tc>
        <w:tc>
          <w:tcPr>
            <w:tcW w:w="1560" w:type="dxa"/>
            <w:tcBorders>
              <w:top w:val="nil"/>
              <w:left w:val="nil"/>
              <w:bottom w:val="single" w:sz="4" w:space="0" w:color="auto"/>
              <w:right w:val="single" w:sz="4" w:space="0" w:color="auto"/>
            </w:tcBorders>
            <w:vAlign w:val="center"/>
            <w:hideMark/>
          </w:tcPr>
          <w:p w14:paraId="54BD249F"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Lakehouse / gouvernance &amp; productivisation ML</w:t>
            </w:r>
          </w:p>
        </w:tc>
        <w:tc>
          <w:tcPr>
            <w:tcW w:w="3007" w:type="dxa"/>
            <w:tcBorders>
              <w:top w:val="nil"/>
              <w:left w:val="nil"/>
              <w:bottom w:val="single" w:sz="4" w:space="0" w:color="auto"/>
              <w:right w:val="single" w:sz="4" w:space="0" w:color="auto"/>
            </w:tcBorders>
            <w:vAlign w:val="center"/>
            <w:hideMark/>
          </w:tcPr>
          <w:p w14:paraId="7732BFE0"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Databricks renforce Unity Catalog (governance, métriques, interop multi-format) et fonctionnalités Data+AI 2025 — facilite catalogage, lineage et sécurité des features/embeddings.</w:t>
            </w:r>
          </w:p>
        </w:tc>
        <w:tc>
          <w:tcPr>
            <w:tcW w:w="1275" w:type="dxa"/>
            <w:tcBorders>
              <w:top w:val="nil"/>
              <w:left w:val="nil"/>
              <w:bottom w:val="single" w:sz="4" w:space="0" w:color="auto"/>
              <w:right w:val="single" w:sz="4" w:space="0" w:color="auto"/>
            </w:tcBorders>
            <w:vAlign w:val="center"/>
            <w:hideMark/>
          </w:tcPr>
          <w:p w14:paraId="70F7E597" w14:textId="77777777" w:rsidR="0048737A" w:rsidRPr="00E34951" w:rsidRDefault="0048737A" w:rsidP="00E34951">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juin-25</w:t>
            </w:r>
          </w:p>
        </w:tc>
        <w:tc>
          <w:tcPr>
            <w:tcW w:w="1843" w:type="dxa"/>
            <w:tcBorders>
              <w:top w:val="nil"/>
              <w:left w:val="nil"/>
              <w:bottom w:val="single" w:sz="4" w:space="0" w:color="auto"/>
              <w:right w:val="single" w:sz="4" w:space="0" w:color="auto"/>
            </w:tcBorders>
            <w:vAlign w:val="center"/>
            <w:hideMark/>
          </w:tcPr>
          <w:p w14:paraId="712FBD60" w14:textId="3FC10C31"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https://www.databricks.com/blog/whats-new-databricks-unity-catalog-data-ai-summit-2025</w:t>
            </w:r>
          </w:p>
        </w:tc>
        <w:tc>
          <w:tcPr>
            <w:tcW w:w="1559" w:type="dxa"/>
            <w:tcBorders>
              <w:top w:val="single" w:sz="4" w:space="0" w:color="auto"/>
              <w:bottom w:val="single" w:sz="4" w:space="0" w:color="auto"/>
              <w:right w:val="single" w:sz="4" w:space="0" w:color="auto"/>
            </w:tcBorders>
          </w:tcPr>
          <w:p w14:paraId="67AE3F91" w14:textId="194FDAE2" w:rsidR="0048737A" w:rsidRPr="004178D6" w:rsidRDefault="0048737A" w:rsidP="00E34951">
            <w:pPr>
              <w:spacing w:after="0" w:line="240" w:lineRule="auto"/>
              <w:rPr>
                <w:rFonts w:ascii="Times New Roman" w:eastAsia="Times New Roman" w:hAnsi="Times New Roman" w:cs="Times New Roman"/>
                <w:color w:val="000000"/>
                <w:kern w:val="0"/>
                <w:sz w:val="24"/>
                <w:szCs w:val="24"/>
                <w:lang w:val="en-US" w:eastAsia="fr-FR"/>
                <w14:ligatures w14:val="none"/>
              </w:rPr>
            </w:pPr>
            <w:r w:rsidRPr="004178D6">
              <w:rPr>
                <w:rFonts w:ascii="Times New Roman" w:eastAsia="Times New Roman" w:hAnsi="Times New Roman" w:cs="Times New Roman"/>
                <w:color w:val="000000"/>
                <w:kern w:val="0"/>
                <w:sz w:val="24"/>
                <w:szCs w:val="24"/>
                <w:lang w:val="en-US" w:eastAsia="fr-FR"/>
                <w14:ligatures w14:val="none"/>
              </w:rPr>
              <w:t>Unity Catalog, data governance, lakehouse, MLops</w:t>
            </w:r>
          </w:p>
        </w:tc>
      </w:tr>
      <w:tr w:rsidR="0048737A" w:rsidRPr="00D1001D" w14:paraId="29C39DEC" w14:textId="22C98BAC" w:rsidTr="0048737A">
        <w:trPr>
          <w:trHeight w:val="2016"/>
        </w:trPr>
        <w:tc>
          <w:tcPr>
            <w:tcW w:w="1246" w:type="dxa"/>
            <w:tcBorders>
              <w:top w:val="nil"/>
              <w:left w:val="single" w:sz="4" w:space="0" w:color="auto"/>
              <w:bottom w:val="single" w:sz="4" w:space="0" w:color="auto"/>
              <w:right w:val="single" w:sz="4" w:space="0" w:color="auto"/>
            </w:tcBorders>
            <w:vAlign w:val="center"/>
            <w:hideMark/>
          </w:tcPr>
          <w:p w14:paraId="22BF43C7"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lastRenderedPageBreak/>
              <w:t>Amazon SageMaker (nouvelle génération / Unified Studio)</w:t>
            </w:r>
          </w:p>
        </w:tc>
        <w:tc>
          <w:tcPr>
            <w:tcW w:w="1560" w:type="dxa"/>
            <w:tcBorders>
              <w:top w:val="nil"/>
              <w:left w:val="nil"/>
              <w:bottom w:val="single" w:sz="4" w:space="0" w:color="auto"/>
              <w:right w:val="single" w:sz="4" w:space="0" w:color="auto"/>
            </w:tcBorders>
            <w:vAlign w:val="center"/>
            <w:hideMark/>
          </w:tcPr>
          <w:p w14:paraId="1E97DFB1"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Plateforme ML managée</w:t>
            </w:r>
          </w:p>
        </w:tc>
        <w:tc>
          <w:tcPr>
            <w:tcW w:w="3007" w:type="dxa"/>
            <w:tcBorders>
              <w:top w:val="nil"/>
              <w:left w:val="nil"/>
              <w:bottom w:val="single" w:sz="4" w:space="0" w:color="auto"/>
              <w:right w:val="single" w:sz="4" w:space="0" w:color="auto"/>
            </w:tcBorders>
            <w:vAlign w:val="center"/>
            <w:hideMark/>
          </w:tcPr>
          <w:p w14:paraId="436D5E32" w14:textId="65BB9F52"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 xml:space="preserve">SageMaker Unified Studio &amp; Lakehouse (annoncé re:Invent 2024 / updates 2024–2025) unifie entraînement, fine-tuning et déploiement (HyperPod, outils GPU distribués) — utile </w:t>
            </w:r>
            <w:r w:rsidRPr="004178D6">
              <w:rPr>
                <w:rFonts w:ascii="Times New Roman" w:eastAsia="Times New Roman" w:hAnsi="Times New Roman" w:cs="Times New Roman"/>
                <w:color w:val="000000"/>
                <w:kern w:val="0"/>
                <w:sz w:val="24"/>
                <w:szCs w:val="24"/>
                <w:lang w:eastAsia="fr-FR"/>
                <w14:ligatures w14:val="none"/>
              </w:rPr>
              <w:t xml:space="preserve">pour </w:t>
            </w:r>
            <w:r w:rsidRPr="00E34951">
              <w:rPr>
                <w:rFonts w:ascii="Times New Roman" w:eastAsia="Times New Roman" w:hAnsi="Times New Roman" w:cs="Times New Roman"/>
                <w:color w:val="000000"/>
                <w:kern w:val="0"/>
                <w:sz w:val="24"/>
                <w:szCs w:val="24"/>
                <w:lang w:eastAsia="fr-FR"/>
                <w14:ligatures w14:val="none"/>
              </w:rPr>
              <w:t>garder entraînements/inférences sur AWS pour contrôle des données.</w:t>
            </w:r>
          </w:p>
        </w:tc>
        <w:tc>
          <w:tcPr>
            <w:tcW w:w="1275" w:type="dxa"/>
            <w:tcBorders>
              <w:top w:val="nil"/>
              <w:left w:val="nil"/>
              <w:bottom w:val="single" w:sz="4" w:space="0" w:color="auto"/>
              <w:right w:val="single" w:sz="4" w:space="0" w:color="auto"/>
            </w:tcBorders>
            <w:vAlign w:val="center"/>
            <w:hideMark/>
          </w:tcPr>
          <w:p w14:paraId="55C37649" w14:textId="77777777" w:rsidR="0048737A" w:rsidRPr="00E34951" w:rsidRDefault="0048737A" w:rsidP="00E34951">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03 déc. 2024</w:t>
            </w:r>
          </w:p>
        </w:tc>
        <w:tc>
          <w:tcPr>
            <w:tcW w:w="1843" w:type="dxa"/>
            <w:tcBorders>
              <w:top w:val="nil"/>
              <w:left w:val="nil"/>
              <w:bottom w:val="single" w:sz="4" w:space="0" w:color="auto"/>
              <w:right w:val="single" w:sz="4" w:space="0" w:color="auto"/>
            </w:tcBorders>
            <w:vAlign w:val="center"/>
            <w:hideMark/>
          </w:tcPr>
          <w:p w14:paraId="469DAB5B" w14:textId="7ADBD91E" w:rsidR="0048737A" w:rsidRPr="00E34951" w:rsidRDefault="0048737A" w:rsidP="00244B56">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https://aws.amazon.com/about-aws/whats-new/2024/12/next-generation-amazon-sagemaker</w:t>
            </w:r>
            <w:r w:rsidRPr="00E34951">
              <w:rPr>
                <w:rFonts w:ascii="Times New Roman" w:eastAsia="Times New Roman" w:hAnsi="Times New Roman" w:cs="Times New Roman"/>
                <w:color w:val="000000"/>
                <w:kern w:val="0"/>
                <w:sz w:val="24"/>
                <w:szCs w:val="24"/>
                <w:lang w:eastAsia="fr-FR"/>
                <w14:ligatures w14:val="none"/>
              </w:rPr>
              <w:t> </w:t>
            </w:r>
          </w:p>
        </w:tc>
        <w:tc>
          <w:tcPr>
            <w:tcW w:w="1559" w:type="dxa"/>
            <w:tcBorders>
              <w:top w:val="single" w:sz="4" w:space="0" w:color="auto"/>
              <w:bottom w:val="single" w:sz="4" w:space="0" w:color="auto"/>
              <w:right w:val="single" w:sz="4" w:space="0" w:color="auto"/>
            </w:tcBorders>
          </w:tcPr>
          <w:p w14:paraId="290011D7" w14:textId="2E80E3DD" w:rsidR="0048737A" w:rsidRPr="004178D6" w:rsidRDefault="0048737A" w:rsidP="00244B56">
            <w:pPr>
              <w:spacing w:after="0" w:line="240" w:lineRule="auto"/>
              <w:rPr>
                <w:rFonts w:ascii="Times New Roman" w:eastAsia="Times New Roman" w:hAnsi="Times New Roman" w:cs="Times New Roman"/>
                <w:color w:val="000000"/>
                <w:kern w:val="0"/>
                <w:sz w:val="24"/>
                <w:szCs w:val="24"/>
                <w:lang w:val="en-US" w:eastAsia="fr-FR"/>
                <w14:ligatures w14:val="none"/>
              </w:rPr>
            </w:pPr>
            <w:r w:rsidRPr="004178D6">
              <w:rPr>
                <w:rFonts w:ascii="Times New Roman" w:eastAsia="Times New Roman" w:hAnsi="Times New Roman" w:cs="Times New Roman"/>
                <w:color w:val="000000"/>
                <w:kern w:val="0"/>
                <w:sz w:val="24"/>
                <w:szCs w:val="24"/>
                <w:lang w:val="en-US" w:eastAsia="fr-FR"/>
                <w14:ligatures w14:val="none"/>
              </w:rPr>
              <w:t>machine learning, AWS, model training, LLM deployment</w:t>
            </w:r>
          </w:p>
        </w:tc>
      </w:tr>
      <w:tr w:rsidR="0048737A" w:rsidRPr="004178D6" w14:paraId="5E8CCFC4" w14:textId="02B91C1B" w:rsidTr="0048737A">
        <w:trPr>
          <w:trHeight w:val="1728"/>
        </w:trPr>
        <w:tc>
          <w:tcPr>
            <w:tcW w:w="1246" w:type="dxa"/>
            <w:tcBorders>
              <w:top w:val="nil"/>
              <w:left w:val="single" w:sz="4" w:space="0" w:color="auto"/>
              <w:bottom w:val="single" w:sz="4" w:space="0" w:color="auto"/>
              <w:right w:val="single" w:sz="4" w:space="0" w:color="auto"/>
            </w:tcBorders>
            <w:vAlign w:val="center"/>
            <w:hideMark/>
          </w:tcPr>
          <w:p w14:paraId="508E34BC"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val="en-US" w:eastAsia="fr-FR"/>
                <w14:ligatures w14:val="none"/>
              </w:rPr>
            </w:pPr>
            <w:r w:rsidRPr="00E34951">
              <w:rPr>
                <w:rFonts w:ascii="Times New Roman" w:eastAsia="Times New Roman" w:hAnsi="Times New Roman" w:cs="Times New Roman"/>
                <w:color w:val="000000"/>
                <w:kern w:val="0"/>
                <w:sz w:val="24"/>
                <w:szCs w:val="24"/>
                <w:lang w:val="en-US" w:eastAsia="fr-FR"/>
                <w14:ligatures w14:val="none"/>
              </w:rPr>
              <w:t>Milvus (vector DB / embeddings store)</w:t>
            </w:r>
          </w:p>
        </w:tc>
        <w:tc>
          <w:tcPr>
            <w:tcW w:w="1560" w:type="dxa"/>
            <w:tcBorders>
              <w:top w:val="nil"/>
              <w:left w:val="nil"/>
              <w:bottom w:val="single" w:sz="4" w:space="0" w:color="auto"/>
              <w:right w:val="single" w:sz="4" w:space="0" w:color="auto"/>
            </w:tcBorders>
            <w:vAlign w:val="center"/>
            <w:hideMark/>
          </w:tcPr>
          <w:p w14:paraId="7A89ED81"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Stockage vecteurs pour recherche sémantique</w:t>
            </w:r>
          </w:p>
        </w:tc>
        <w:tc>
          <w:tcPr>
            <w:tcW w:w="3007" w:type="dxa"/>
            <w:tcBorders>
              <w:top w:val="nil"/>
              <w:left w:val="nil"/>
              <w:bottom w:val="single" w:sz="4" w:space="0" w:color="auto"/>
              <w:right w:val="single" w:sz="4" w:space="0" w:color="auto"/>
            </w:tcBorders>
            <w:vAlign w:val="center"/>
            <w:hideMark/>
          </w:tcPr>
          <w:p w14:paraId="18696C92" w14:textId="69DC0798"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Milvus (v2.x) est une solution open-source mature pour indexation/lookup d’embeddings, scalabilité pour similarity search — pertinent pour recherche thématique et clustering (semantic search).</w:t>
            </w:r>
          </w:p>
        </w:tc>
        <w:tc>
          <w:tcPr>
            <w:tcW w:w="1275" w:type="dxa"/>
            <w:tcBorders>
              <w:top w:val="nil"/>
              <w:left w:val="nil"/>
              <w:bottom w:val="single" w:sz="4" w:space="0" w:color="auto"/>
              <w:right w:val="single" w:sz="4" w:space="0" w:color="auto"/>
            </w:tcBorders>
            <w:vAlign w:val="center"/>
            <w:hideMark/>
          </w:tcPr>
          <w:p w14:paraId="1F76D683" w14:textId="77777777" w:rsidR="0048737A" w:rsidRPr="00E34951" w:rsidRDefault="0048737A" w:rsidP="00E34951">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 xml:space="preserve"> 2024–2025</w:t>
            </w:r>
          </w:p>
        </w:tc>
        <w:tc>
          <w:tcPr>
            <w:tcW w:w="1843" w:type="dxa"/>
            <w:tcBorders>
              <w:top w:val="nil"/>
              <w:left w:val="nil"/>
              <w:bottom w:val="single" w:sz="4" w:space="0" w:color="auto"/>
              <w:right w:val="single" w:sz="4" w:space="0" w:color="auto"/>
            </w:tcBorders>
            <w:vAlign w:val="center"/>
            <w:hideMark/>
          </w:tcPr>
          <w:p w14:paraId="2D101F48" w14:textId="302C1578" w:rsidR="0048737A" w:rsidRPr="00E34951" w:rsidRDefault="0048737A" w:rsidP="00244B56">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https://milvus.io/docs/v2.4.x/overview.md</w:t>
            </w:r>
            <w:r w:rsidRPr="00E34951">
              <w:rPr>
                <w:rFonts w:ascii="Times New Roman" w:eastAsia="Times New Roman" w:hAnsi="Times New Roman" w:cs="Times New Roman"/>
                <w:color w:val="000000"/>
                <w:kern w:val="0"/>
                <w:sz w:val="24"/>
                <w:szCs w:val="24"/>
                <w:lang w:eastAsia="fr-FR"/>
                <w14:ligatures w14:val="none"/>
              </w:rPr>
              <w:t> </w:t>
            </w:r>
          </w:p>
        </w:tc>
        <w:tc>
          <w:tcPr>
            <w:tcW w:w="1559" w:type="dxa"/>
            <w:tcBorders>
              <w:top w:val="single" w:sz="4" w:space="0" w:color="auto"/>
              <w:bottom w:val="single" w:sz="4" w:space="0" w:color="auto"/>
              <w:right w:val="single" w:sz="4" w:space="0" w:color="auto"/>
            </w:tcBorders>
          </w:tcPr>
          <w:p w14:paraId="1277F7BA" w14:textId="7EDDC525" w:rsidR="0048737A" w:rsidRPr="004178D6" w:rsidRDefault="0048737A" w:rsidP="00244B56">
            <w:pPr>
              <w:spacing w:after="0" w:line="240" w:lineRule="auto"/>
              <w:rPr>
                <w:rFonts w:ascii="Times New Roman" w:eastAsia="Times New Roman" w:hAnsi="Times New Roman" w:cs="Times New Roman"/>
                <w:color w:val="000000"/>
                <w:kern w:val="0"/>
                <w:sz w:val="24"/>
                <w:szCs w:val="24"/>
                <w:lang w:val="en-US" w:eastAsia="fr-FR"/>
                <w14:ligatures w14:val="none"/>
              </w:rPr>
            </w:pPr>
            <w:r w:rsidRPr="004178D6">
              <w:rPr>
                <w:rFonts w:ascii="Times New Roman" w:eastAsia="Times New Roman" w:hAnsi="Times New Roman" w:cs="Times New Roman"/>
                <w:color w:val="000000"/>
                <w:kern w:val="0"/>
                <w:sz w:val="24"/>
                <w:szCs w:val="24"/>
                <w:lang w:val="en-US" w:eastAsia="fr-FR"/>
                <w14:ligatures w14:val="none"/>
              </w:rPr>
              <w:t>embeddings, semantic search, similarity</w:t>
            </w:r>
          </w:p>
        </w:tc>
      </w:tr>
      <w:tr w:rsidR="0048737A" w:rsidRPr="004178D6" w14:paraId="0E9F1745" w14:textId="1F674BBA" w:rsidTr="0048737A">
        <w:trPr>
          <w:trHeight w:val="2004"/>
        </w:trPr>
        <w:tc>
          <w:tcPr>
            <w:tcW w:w="1246" w:type="dxa"/>
            <w:tcBorders>
              <w:top w:val="nil"/>
              <w:left w:val="single" w:sz="4" w:space="0" w:color="auto"/>
              <w:bottom w:val="single" w:sz="4" w:space="0" w:color="auto"/>
              <w:right w:val="single" w:sz="4" w:space="0" w:color="auto"/>
            </w:tcBorders>
            <w:vAlign w:val="center"/>
            <w:hideMark/>
          </w:tcPr>
          <w:p w14:paraId="5B0B7E66"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AI Act (Règlement UE)</w:t>
            </w:r>
          </w:p>
        </w:tc>
        <w:tc>
          <w:tcPr>
            <w:tcW w:w="1560" w:type="dxa"/>
            <w:tcBorders>
              <w:top w:val="nil"/>
              <w:left w:val="nil"/>
              <w:bottom w:val="single" w:sz="4" w:space="0" w:color="auto"/>
              <w:right w:val="single" w:sz="4" w:space="0" w:color="auto"/>
            </w:tcBorders>
            <w:vAlign w:val="center"/>
            <w:hideMark/>
          </w:tcPr>
          <w:p w14:paraId="62FCF3FB"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Régulation IA (transparence, obligations)</w:t>
            </w:r>
          </w:p>
        </w:tc>
        <w:tc>
          <w:tcPr>
            <w:tcW w:w="3007" w:type="dxa"/>
            <w:tcBorders>
              <w:top w:val="nil"/>
              <w:left w:val="nil"/>
              <w:bottom w:val="single" w:sz="4" w:space="0" w:color="auto"/>
              <w:right w:val="single" w:sz="4" w:space="0" w:color="auto"/>
            </w:tcBorders>
            <w:vAlign w:val="center"/>
            <w:hideMark/>
          </w:tcPr>
          <w:p w14:paraId="1D28D7BA" w14:textId="756FA8B4"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 xml:space="preserve">L’AI Act impose obligations de transparence (déclarations si contenu IA), restrictions sur manipulation — impact direct sur synthèses </w:t>
            </w:r>
            <w:r w:rsidRPr="004178D6">
              <w:rPr>
                <w:rFonts w:ascii="Times New Roman" w:eastAsia="Times New Roman" w:hAnsi="Times New Roman" w:cs="Times New Roman"/>
                <w:color w:val="000000"/>
                <w:kern w:val="0"/>
                <w:sz w:val="24"/>
                <w:szCs w:val="24"/>
                <w:lang w:eastAsia="fr-FR"/>
                <w14:ligatures w14:val="none"/>
              </w:rPr>
              <w:t>de données</w:t>
            </w:r>
            <w:r w:rsidRPr="00E34951">
              <w:rPr>
                <w:rFonts w:ascii="Times New Roman" w:eastAsia="Times New Roman" w:hAnsi="Times New Roman" w:cs="Times New Roman"/>
                <w:color w:val="000000"/>
                <w:kern w:val="0"/>
                <w:sz w:val="24"/>
                <w:szCs w:val="24"/>
                <w:lang w:eastAsia="fr-FR"/>
                <w14:ligatures w14:val="none"/>
              </w:rPr>
              <w:t xml:space="preserve"> générées par LLM (étiquetage, XAI, audits). Débats et implémentations en 2025.</w:t>
            </w:r>
          </w:p>
        </w:tc>
        <w:tc>
          <w:tcPr>
            <w:tcW w:w="1275" w:type="dxa"/>
            <w:tcBorders>
              <w:top w:val="nil"/>
              <w:left w:val="nil"/>
              <w:bottom w:val="single" w:sz="4" w:space="0" w:color="auto"/>
              <w:right w:val="single" w:sz="4" w:space="0" w:color="auto"/>
            </w:tcBorders>
            <w:vAlign w:val="center"/>
            <w:hideMark/>
          </w:tcPr>
          <w:p w14:paraId="42E8B17E" w14:textId="77777777" w:rsidR="0048737A" w:rsidRPr="00E34951" w:rsidRDefault="0048737A" w:rsidP="00E34951">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2024–2025 (mesures d’application 2025).</w:t>
            </w:r>
          </w:p>
        </w:tc>
        <w:tc>
          <w:tcPr>
            <w:tcW w:w="1843" w:type="dxa"/>
            <w:tcBorders>
              <w:top w:val="nil"/>
              <w:left w:val="nil"/>
              <w:bottom w:val="single" w:sz="4" w:space="0" w:color="auto"/>
              <w:right w:val="single" w:sz="4" w:space="0" w:color="auto"/>
            </w:tcBorders>
            <w:vAlign w:val="center"/>
            <w:hideMark/>
          </w:tcPr>
          <w:p w14:paraId="73EE0E14" w14:textId="3E20E519" w:rsidR="0048737A" w:rsidRPr="00E34951" w:rsidRDefault="0048737A" w:rsidP="00244B56">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https://www.reuters.com/technology/tech-lobby-group-urges-eu-leaders-pause-ai-act-2025-06-25</w:t>
            </w:r>
            <w:r w:rsidRPr="00E34951">
              <w:rPr>
                <w:rFonts w:ascii="Times New Roman" w:eastAsia="Times New Roman" w:hAnsi="Times New Roman" w:cs="Times New Roman"/>
                <w:color w:val="000000"/>
                <w:kern w:val="0"/>
                <w:sz w:val="24"/>
                <w:szCs w:val="24"/>
                <w:lang w:eastAsia="fr-FR"/>
                <w14:ligatures w14:val="none"/>
              </w:rPr>
              <w:t> </w:t>
            </w:r>
          </w:p>
        </w:tc>
        <w:tc>
          <w:tcPr>
            <w:tcW w:w="1559" w:type="dxa"/>
            <w:tcBorders>
              <w:top w:val="single" w:sz="4" w:space="0" w:color="auto"/>
              <w:bottom w:val="single" w:sz="4" w:space="0" w:color="auto"/>
              <w:right w:val="single" w:sz="4" w:space="0" w:color="auto"/>
            </w:tcBorders>
          </w:tcPr>
          <w:p w14:paraId="58D0EF0B" w14:textId="20E8B4CD" w:rsidR="0048737A" w:rsidRPr="004178D6" w:rsidRDefault="0048737A" w:rsidP="00244B56">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IA Acte, réglementation IA, transparence, conformité UE</w:t>
            </w:r>
          </w:p>
        </w:tc>
      </w:tr>
      <w:tr w:rsidR="0048737A" w:rsidRPr="004178D6" w14:paraId="62C73156" w14:textId="626F55FB" w:rsidTr="0048737A">
        <w:trPr>
          <w:trHeight w:val="2016"/>
        </w:trPr>
        <w:tc>
          <w:tcPr>
            <w:tcW w:w="1246" w:type="dxa"/>
            <w:tcBorders>
              <w:top w:val="nil"/>
              <w:left w:val="single" w:sz="4" w:space="0" w:color="auto"/>
              <w:bottom w:val="single" w:sz="4" w:space="0" w:color="auto"/>
              <w:right w:val="single" w:sz="4" w:space="0" w:color="auto"/>
            </w:tcBorders>
            <w:vAlign w:val="center"/>
            <w:hideMark/>
          </w:tcPr>
          <w:p w14:paraId="084C6B3E"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RGPD (Regulation (EU) 2016/679)</w:t>
            </w:r>
          </w:p>
        </w:tc>
        <w:tc>
          <w:tcPr>
            <w:tcW w:w="1560" w:type="dxa"/>
            <w:tcBorders>
              <w:top w:val="nil"/>
              <w:left w:val="nil"/>
              <w:bottom w:val="single" w:sz="4" w:space="0" w:color="auto"/>
              <w:right w:val="single" w:sz="4" w:space="0" w:color="auto"/>
            </w:tcBorders>
            <w:vAlign w:val="center"/>
            <w:hideMark/>
          </w:tcPr>
          <w:p w14:paraId="76BACD56"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Protection des données personnelles</w:t>
            </w:r>
          </w:p>
        </w:tc>
        <w:tc>
          <w:tcPr>
            <w:tcW w:w="3007" w:type="dxa"/>
            <w:tcBorders>
              <w:top w:val="nil"/>
              <w:left w:val="nil"/>
              <w:bottom w:val="single" w:sz="4" w:space="0" w:color="auto"/>
              <w:right w:val="single" w:sz="4" w:space="0" w:color="auto"/>
            </w:tcBorders>
            <w:vAlign w:val="center"/>
            <w:hideMark/>
          </w:tcPr>
          <w:p w14:paraId="776455B3" w14:textId="7C11B162"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 xml:space="preserve">RGPD demeure la référence sur consentement, minimisation, anonymisation/pseudonymisation et transferts transfrontaliers — contraintes essentielles si </w:t>
            </w:r>
            <w:r w:rsidRPr="004178D6">
              <w:rPr>
                <w:rFonts w:ascii="Times New Roman" w:eastAsia="Times New Roman" w:hAnsi="Times New Roman" w:cs="Times New Roman"/>
                <w:color w:val="000000"/>
                <w:kern w:val="0"/>
                <w:sz w:val="24"/>
                <w:szCs w:val="24"/>
                <w:lang w:eastAsia="fr-FR"/>
                <w14:ligatures w14:val="none"/>
              </w:rPr>
              <w:t>les données</w:t>
            </w:r>
            <w:r w:rsidRPr="00E34951">
              <w:rPr>
                <w:rFonts w:ascii="Times New Roman" w:eastAsia="Times New Roman" w:hAnsi="Times New Roman" w:cs="Times New Roman"/>
                <w:color w:val="000000"/>
                <w:kern w:val="0"/>
                <w:sz w:val="24"/>
                <w:szCs w:val="24"/>
                <w:lang w:eastAsia="fr-FR"/>
                <w14:ligatures w14:val="none"/>
              </w:rPr>
              <w:t xml:space="preserve"> </w:t>
            </w:r>
            <w:r w:rsidRPr="004178D6">
              <w:rPr>
                <w:rFonts w:ascii="Times New Roman" w:eastAsia="Times New Roman" w:hAnsi="Times New Roman" w:cs="Times New Roman"/>
                <w:color w:val="000000"/>
                <w:kern w:val="0"/>
                <w:sz w:val="24"/>
                <w:szCs w:val="24"/>
                <w:lang w:eastAsia="fr-FR"/>
                <w14:ligatures w14:val="none"/>
              </w:rPr>
              <w:t xml:space="preserve">analysées </w:t>
            </w:r>
            <w:r w:rsidRPr="00E34951">
              <w:rPr>
                <w:rFonts w:ascii="Times New Roman" w:eastAsia="Times New Roman" w:hAnsi="Times New Roman" w:cs="Times New Roman"/>
                <w:color w:val="000000"/>
                <w:kern w:val="0"/>
                <w:sz w:val="24"/>
                <w:szCs w:val="24"/>
                <w:lang w:eastAsia="fr-FR"/>
                <w14:ligatures w14:val="none"/>
              </w:rPr>
              <w:t xml:space="preserve">contiennent </w:t>
            </w:r>
            <w:r w:rsidRPr="004178D6">
              <w:rPr>
                <w:rFonts w:ascii="Times New Roman" w:eastAsia="Times New Roman" w:hAnsi="Times New Roman" w:cs="Times New Roman"/>
                <w:color w:val="000000"/>
                <w:kern w:val="0"/>
                <w:sz w:val="24"/>
                <w:szCs w:val="24"/>
                <w:lang w:eastAsia="fr-FR"/>
                <w14:ligatures w14:val="none"/>
              </w:rPr>
              <w:t xml:space="preserve">des </w:t>
            </w:r>
            <w:r w:rsidRPr="00E34951">
              <w:rPr>
                <w:rFonts w:ascii="Times New Roman" w:eastAsia="Times New Roman" w:hAnsi="Times New Roman" w:cs="Times New Roman"/>
                <w:color w:val="000000"/>
                <w:kern w:val="0"/>
                <w:sz w:val="24"/>
                <w:szCs w:val="24"/>
                <w:lang w:eastAsia="fr-FR"/>
                <w14:ligatures w14:val="none"/>
              </w:rPr>
              <w:t>données personnelles (exigence d’anonymisation avant NLP).</w:t>
            </w:r>
          </w:p>
        </w:tc>
        <w:tc>
          <w:tcPr>
            <w:tcW w:w="1275" w:type="dxa"/>
            <w:tcBorders>
              <w:top w:val="nil"/>
              <w:left w:val="nil"/>
              <w:bottom w:val="single" w:sz="4" w:space="0" w:color="auto"/>
              <w:right w:val="single" w:sz="4" w:space="0" w:color="auto"/>
            </w:tcBorders>
            <w:vAlign w:val="center"/>
            <w:hideMark/>
          </w:tcPr>
          <w:p w14:paraId="5F389ECC" w14:textId="77777777" w:rsidR="0048737A" w:rsidRPr="00E34951" w:rsidRDefault="0048737A" w:rsidP="00E34951">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 xml:space="preserve">Texte initial 27 avr. 2016 (applicable depuis 2018) </w:t>
            </w:r>
          </w:p>
        </w:tc>
        <w:tc>
          <w:tcPr>
            <w:tcW w:w="1843" w:type="dxa"/>
            <w:tcBorders>
              <w:top w:val="nil"/>
              <w:left w:val="nil"/>
              <w:bottom w:val="single" w:sz="4" w:space="0" w:color="auto"/>
              <w:right w:val="single" w:sz="4" w:space="0" w:color="auto"/>
            </w:tcBorders>
            <w:vAlign w:val="center"/>
            <w:hideMark/>
          </w:tcPr>
          <w:p w14:paraId="1A30F22C" w14:textId="7A9070D8" w:rsidR="0048737A" w:rsidRPr="00E34951" w:rsidRDefault="0048737A" w:rsidP="00244B56">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https://eur-lex.europa.eu/eli/reg/2016/679/oj/eng</w:t>
            </w:r>
            <w:r w:rsidRPr="00E34951">
              <w:rPr>
                <w:rFonts w:ascii="Times New Roman" w:eastAsia="Times New Roman" w:hAnsi="Times New Roman" w:cs="Times New Roman"/>
                <w:color w:val="000000"/>
                <w:kern w:val="0"/>
                <w:sz w:val="24"/>
                <w:szCs w:val="24"/>
                <w:lang w:eastAsia="fr-FR"/>
                <w14:ligatures w14:val="none"/>
              </w:rPr>
              <w:t> </w:t>
            </w:r>
          </w:p>
        </w:tc>
        <w:tc>
          <w:tcPr>
            <w:tcW w:w="1559" w:type="dxa"/>
            <w:tcBorders>
              <w:top w:val="single" w:sz="4" w:space="0" w:color="auto"/>
              <w:bottom w:val="single" w:sz="4" w:space="0" w:color="auto"/>
              <w:right w:val="single" w:sz="4" w:space="0" w:color="auto"/>
            </w:tcBorders>
          </w:tcPr>
          <w:p w14:paraId="644267FB" w14:textId="399257F8" w:rsidR="0048737A" w:rsidRPr="004178D6" w:rsidRDefault="0048737A" w:rsidP="00244B56">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RGPD, data privacy, anonymisation, consentement, EU compliance</w:t>
            </w:r>
          </w:p>
        </w:tc>
      </w:tr>
      <w:tr w:rsidR="0048737A" w:rsidRPr="004178D6" w14:paraId="77D64229" w14:textId="629BF44E" w:rsidTr="0048737A">
        <w:trPr>
          <w:trHeight w:val="3624"/>
        </w:trPr>
        <w:tc>
          <w:tcPr>
            <w:tcW w:w="1246" w:type="dxa"/>
            <w:tcBorders>
              <w:top w:val="nil"/>
              <w:left w:val="single" w:sz="4" w:space="0" w:color="auto"/>
              <w:bottom w:val="single" w:sz="4" w:space="0" w:color="auto"/>
              <w:right w:val="single" w:sz="4" w:space="0" w:color="auto"/>
            </w:tcBorders>
            <w:vAlign w:val="center"/>
            <w:hideMark/>
          </w:tcPr>
          <w:p w14:paraId="0EBCA8A8"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val="en-US" w:eastAsia="fr-FR"/>
                <w14:ligatures w14:val="none"/>
              </w:rPr>
            </w:pPr>
            <w:r w:rsidRPr="00E34951">
              <w:rPr>
                <w:rFonts w:ascii="Times New Roman" w:eastAsia="Times New Roman" w:hAnsi="Times New Roman" w:cs="Times New Roman"/>
                <w:color w:val="000000"/>
                <w:kern w:val="0"/>
                <w:sz w:val="24"/>
                <w:szCs w:val="24"/>
                <w:lang w:val="en-US" w:eastAsia="fr-FR"/>
                <w14:ligatures w14:val="none"/>
              </w:rPr>
              <w:lastRenderedPageBreak/>
              <w:t>CCPA (California Consumer Privacy Act)</w:t>
            </w:r>
          </w:p>
        </w:tc>
        <w:tc>
          <w:tcPr>
            <w:tcW w:w="1560" w:type="dxa"/>
            <w:tcBorders>
              <w:top w:val="nil"/>
              <w:left w:val="nil"/>
              <w:bottom w:val="single" w:sz="4" w:space="0" w:color="auto"/>
              <w:right w:val="single" w:sz="4" w:space="0" w:color="auto"/>
            </w:tcBorders>
            <w:vAlign w:val="center"/>
            <w:hideMark/>
          </w:tcPr>
          <w:p w14:paraId="769EE488" w14:textId="77777777"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Réglementation américaine sur la protection des données personnelles</w:t>
            </w:r>
          </w:p>
        </w:tc>
        <w:tc>
          <w:tcPr>
            <w:tcW w:w="3007" w:type="dxa"/>
            <w:tcBorders>
              <w:top w:val="nil"/>
              <w:left w:val="nil"/>
              <w:bottom w:val="single" w:sz="4" w:space="0" w:color="auto"/>
              <w:right w:val="single" w:sz="4" w:space="0" w:color="auto"/>
            </w:tcBorders>
            <w:vAlign w:val="center"/>
            <w:hideMark/>
          </w:tcPr>
          <w:p w14:paraId="48B23BC1" w14:textId="53D0292A" w:rsidR="0048737A" w:rsidRPr="00E34951"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 xml:space="preserve">L’équivalent californien du RGPD : impose le droit à l’information, à la suppression et à l’opposition à la vente des données personnelles. Depuis 2023, le CPRA (California Privacy Rights Act) renforce le CCPA (obligation de transparence accrue et nouvelles catégories de données sensibles). Pertinent pour les traitements </w:t>
            </w:r>
            <w:r w:rsidRPr="004178D6">
              <w:rPr>
                <w:rFonts w:ascii="Times New Roman" w:eastAsia="Times New Roman" w:hAnsi="Times New Roman" w:cs="Times New Roman"/>
                <w:color w:val="000000"/>
                <w:kern w:val="0"/>
                <w:sz w:val="24"/>
                <w:szCs w:val="24"/>
                <w:lang w:eastAsia="fr-FR"/>
                <w14:ligatures w14:val="none"/>
              </w:rPr>
              <w:t>de données</w:t>
            </w:r>
            <w:r w:rsidRPr="00E34951">
              <w:rPr>
                <w:rFonts w:ascii="Times New Roman" w:eastAsia="Times New Roman" w:hAnsi="Times New Roman" w:cs="Times New Roman"/>
                <w:color w:val="000000"/>
                <w:kern w:val="0"/>
                <w:sz w:val="24"/>
                <w:szCs w:val="24"/>
                <w:lang w:eastAsia="fr-FR"/>
                <w14:ligatures w14:val="none"/>
              </w:rPr>
              <w:t xml:space="preserve"> provenant d’utilisateurs US (collecte, stockage sur S3/Snowflake, partage IA).</w:t>
            </w:r>
          </w:p>
        </w:tc>
        <w:tc>
          <w:tcPr>
            <w:tcW w:w="1275" w:type="dxa"/>
            <w:tcBorders>
              <w:top w:val="nil"/>
              <w:left w:val="nil"/>
              <w:bottom w:val="single" w:sz="4" w:space="0" w:color="auto"/>
              <w:right w:val="single" w:sz="4" w:space="0" w:color="auto"/>
            </w:tcBorders>
            <w:vAlign w:val="center"/>
            <w:hideMark/>
          </w:tcPr>
          <w:p w14:paraId="78AB28D0" w14:textId="77777777" w:rsidR="0048737A" w:rsidRPr="00E34951" w:rsidRDefault="0048737A" w:rsidP="00E34951">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E34951">
              <w:rPr>
                <w:rFonts w:ascii="Times New Roman" w:eastAsia="Times New Roman" w:hAnsi="Times New Roman" w:cs="Times New Roman"/>
                <w:color w:val="000000"/>
                <w:kern w:val="0"/>
                <w:sz w:val="24"/>
                <w:szCs w:val="24"/>
                <w:lang w:eastAsia="fr-FR"/>
                <w14:ligatures w14:val="none"/>
              </w:rPr>
              <w:t>Adopté en 2018 – renforcé en 2023 (CPRA)</w:t>
            </w:r>
          </w:p>
        </w:tc>
        <w:tc>
          <w:tcPr>
            <w:tcW w:w="1843" w:type="dxa"/>
            <w:tcBorders>
              <w:top w:val="nil"/>
              <w:left w:val="nil"/>
              <w:bottom w:val="single" w:sz="4" w:space="0" w:color="auto"/>
              <w:right w:val="single" w:sz="4" w:space="0" w:color="auto"/>
            </w:tcBorders>
            <w:vAlign w:val="center"/>
            <w:hideMark/>
          </w:tcPr>
          <w:p w14:paraId="59499B43" w14:textId="307AA6D9" w:rsidR="0048737A" w:rsidRPr="00E34951" w:rsidRDefault="0048737A" w:rsidP="00244B56">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https://oag.ca.gov/privacy/ccpa</w:t>
            </w:r>
            <w:r w:rsidRPr="00E34951">
              <w:rPr>
                <w:rFonts w:ascii="Times New Roman" w:eastAsia="Times New Roman" w:hAnsi="Times New Roman" w:cs="Times New Roman"/>
                <w:color w:val="000000"/>
                <w:kern w:val="0"/>
                <w:sz w:val="24"/>
                <w:szCs w:val="24"/>
                <w:lang w:eastAsia="fr-FR"/>
                <w14:ligatures w14:val="none"/>
              </w:rPr>
              <w:t> </w:t>
            </w:r>
          </w:p>
        </w:tc>
        <w:tc>
          <w:tcPr>
            <w:tcW w:w="1559" w:type="dxa"/>
            <w:tcBorders>
              <w:top w:val="single" w:sz="4" w:space="0" w:color="auto"/>
              <w:bottom w:val="single" w:sz="4" w:space="0" w:color="auto"/>
              <w:right w:val="single" w:sz="4" w:space="0" w:color="auto"/>
            </w:tcBorders>
          </w:tcPr>
          <w:p w14:paraId="13F8324D" w14:textId="02E7E303" w:rsidR="0048737A" w:rsidRPr="004178D6" w:rsidRDefault="0048737A" w:rsidP="00244B56">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CCPA, CPRA, data privacy US, consentement, droit à la suppression</w:t>
            </w:r>
          </w:p>
        </w:tc>
      </w:tr>
      <w:tr w:rsidR="0048737A" w:rsidRPr="004178D6" w14:paraId="06F40F4C" w14:textId="77777777" w:rsidTr="0048737A">
        <w:trPr>
          <w:trHeight w:val="3624"/>
        </w:trPr>
        <w:tc>
          <w:tcPr>
            <w:tcW w:w="1246" w:type="dxa"/>
            <w:tcBorders>
              <w:top w:val="single" w:sz="4" w:space="0" w:color="auto"/>
              <w:left w:val="single" w:sz="4" w:space="0" w:color="auto"/>
              <w:bottom w:val="single" w:sz="4" w:space="0" w:color="auto"/>
              <w:right w:val="single" w:sz="4" w:space="0" w:color="auto"/>
            </w:tcBorders>
            <w:vAlign w:val="center"/>
          </w:tcPr>
          <w:p w14:paraId="3B07D573" w14:textId="4E6D9E5C" w:rsidR="0048737A" w:rsidRPr="004178D6"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RSE Numérique (Responsabilité Sociétale &amp; Environnementale)</w:t>
            </w:r>
          </w:p>
        </w:tc>
        <w:tc>
          <w:tcPr>
            <w:tcW w:w="1560" w:type="dxa"/>
            <w:tcBorders>
              <w:top w:val="single" w:sz="4" w:space="0" w:color="auto"/>
              <w:left w:val="nil"/>
              <w:bottom w:val="single" w:sz="4" w:space="0" w:color="auto"/>
              <w:right w:val="single" w:sz="4" w:space="0" w:color="auto"/>
            </w:tcBorders>
            <w:vAlign w:val="center"/>
          </w:tcPr>
          <w:p w14:paraId="36945E7E" w14:textId="4808FD23" w:rsidR="0048737A" w:rsidRPr="004178D6"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Réglementation / bonnes pratiques</w:t>
            </w:r>
          </w:p>
        </w:tc>
        <w:tc>
          <w:tcPr>
            <w:tcW w:w="3007" w:type="dxa"/>
            <w:tcBorders>
              <w:top w:val="single" w:sz="4" w:space="0" w:color="auto"/>
              <w:left w:val="nil"/>
              <w:bottom w:val="single" w:sz="4" w:space="0" w:color="auto"/>
              <w:right w:val="single" w:sz="4" w:space="0" w:color="auto"/>
            </w:tcBorders>
            <w:vAlign w:val="center"/>
          </w:tcPr>
          <w:p w14:paraId="74F9C6B6" w14:textId="03C7B3C7" w:rsidR="0048737A" w:rsidRPr="004178D6" w:rsidRDefault="0048737A" w:rsidP="00E34951">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La RSE numérique (CSRD, Green AI, ISO 26000) encourage une IA éthique et sobre : évaluation de l’empreinte carbone des modèles, choix cloud responsables, et inclusion sociale dans les projets IA. Tendance forte en 2025.</w:t>
            </w:r>
          </w:p>
        </w:tc>
        <w:tc>
          <w:tcPr>
            <w:tcW w:w="1275" w:type="dxa"/>
            <w:tcBorders>
              <w:top w:val="single" w:sz="4" w:space="0" w:color="auto"/>
              <w:left w:val="nil"/>
              <w:bottom w:val="single" w:sz="4" w:space="0" w:color="auto"/>
              <w:right w:val="single" w:sz="4" w:space="0" w:color="auto"/>
            </w:tcBorders>
            <w:vAlign w:val="center"/>
          </w:tcPr>
          <w:p w14:paraId="2D492423" w14:textId="4AD8DF84" w:rsidR="0048737A" w:rsidRPr="004178D6" w:rsidRDefault="0048737A" w:rsidP="00E34951">
            <w:pPr>
              <w:spacing w:after="0" w:line="240" w:lineRule="auto"/>
              <w:jc w:val="right"/>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2024–2025</w:t>
            </w:r>
          </w:p>
        </w:tc>
        <w:tc>
          <w:tcPr>
            <w:tcW w:w="1843" w:type="dxa"/>
            <w:tcBorders>
              <w:top w:val="single" w:sz="4" w:space="0" w:color="auto"/>
              <w:left w:val="nil"/>
              <w:bottom w:val="single" w:sz="4" w:space="0" w:color="auto"/>
              <w:right w:val="single" w:sz="4" w:space="0" w:color="auto"/>
            </w:tcBorders>
            <w:vAlign w:val="center"/>
          </w:tcPr>
          <w:p w14:paraId="30D5BE46" w14:textId="4753FF70" w:rsidR="0048737A" w:rsidRPr="004178D6" w:rsidRDefault="0048737A" w:rsidP="00244B56">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 xml:space="preserve">- </w:t>
            </w:r>
            <w:hyperlink r:id="rId8" w:history="1">
              <w:r w:rsidRPr="004178D6">
                <w:rPr>
                  <w:rStyle w:val="Lienhypertexte"/>
                  <w:rFonts w:ascii="Times New Roman" w:eastAsia="Times New Roman" w:hAnsi="Times New Roman" w:cs="Times New Roman"/>
                  <w:kern w:val="0"/>
                  <w:sz w:val="24"/>
                  <w:szCs w:val="24"/>
                  <w:lang w:eastAsia="fr-FR"/>
                  <w14:ligatures w14:val="none"/>
                </w:rPr>
                <w:t>https://greenit.eco/nos-etudes-et-essais/impacts-environnementaux-de-lia-dans-le-monde-en-2025</w:t>
              </w:r>
            </w:hyperlink>
          </w:p>
          <w:p w14:paraId="69FC1B78" w14:textId="5A6C2B72" w:rsidR="0048737A" w:rsidRPr="004178D6" w:rsidRDefault="0048737A" w:rsidP="0048737A">
            <w:pPr>
              <w:spacing w:after="0" w:line="240" w:lineRule="auto"/>
              <w:rPr>
                <w:rFonts w:ascii="Times New Roman" w:eastAsia="Times New Roman" w:hAnsi="Times New Roman" w:cs="Times New Roman"/>
                <w:color w:val="000000"/>
                <w:kern w:val="0"/>
                <w:sz w:val="24"/>
                <w:szCs w:val="24"/>
                <w:lang w:eastAsia="fr-FR"/>
                <w14:ligatures w14:val="none"/>
              </w:rPr>
            </w:pPr>
            <w:r w:rsidRPr="004178D6">
              <w:rPr>
                <w:rFonts w:ascii="Times New Roman" w:eastAsia="Times New Roman" w:hAnsi="Times New Roman" w:cs="Times New Roman"/>
                <w:color w:val="000000"/>
                <w:kern w:val="0"/>
                <w:sz w:val="24"/>
                <w:szCs w:val="24"/>
                <w:lang w:eastAsia="fr-FR"/>
                <w14:ligatures w14:val="none"/>
              </w:rPr>
              <w:t>- https://numeum.fr/numerique-responsable</w:t>
            </w:r>
          </w:p>
        </w:tc>
        <w:tc>
          <w:tcPr>
            <w:tcW w:w="1559" w:type="dxa"/>
            <w:tcBorders>
              <w:top w:val="single" w:sz="4" w:space="0" w:color="auto"/>
              <w:bottom w:val="single" w:sz="4" w:space="0" w:color="auto"/>
              <w:right w:val="single" w:sz="4" w:space="0" w:color="auto"/>
            </w:tcBorders>
          </w:tcPr>
          <w:p w14:paraId="5A8112B8" w14:textId="77777777" w:rsidR="0048737A" w:rsidRPr="004178D6" w:rsidRDefault="0048737A" w:rsidP="00244B56">
            <w:pPr>
              <w:spacing w:after="0" w:line="240" w:lineRule="auto"/>
              <w:rPr>
                <w:rFonts w:ascii="Times New Roman" w:eastAsia="Times New Roman" w:hAnsi="Times New Roman" w:cs="Times New Roman"/>
                <w:color w:val="000000"/>
                <w:kern w:val="0"/>
                <w:sz w:val="24"/>
                <w:szCs w:val="24"/>
                <w:lang w:eastAsia="fr-FR"/>
                <w14:ligatures w14:val="none"/>
              </w:rPr>
            </w:pPr>
          </w:p>
          <w:p w14:paraId="406B6128" w14:textId="77777777" w:rsidR="0048737A" w:rsidRPr="004178D6" w:rsidRDefault="0048737A" w:rsidP="0048737A">
            <w:pPr>
              <w:rPr>
                <w:rFonts w:ascii="Times New Roman" w:eastAsia="Times New Roman" w:hAnsi="Times New Roman" w:cs="Times New Roman"/>
                <w:color w:val="000000"/>
                <w:kern w:val="0"/>
                <w:sz w:val="24"/>
                <w:szCs w:val="24"/>
                <w:lang w:eastAsia="fr-FR"/>
                <w14:ligatures w14:val="none"/>
              </w:rPr>
            </w:pPr>
          </w:p>
          <w:p w14:paraId="07B6B2BF" w14:textId="7C8C6162" w:rsidR="0048737A" w:rsidRPr="004178D6" w:rsidRDefault="0048737A" w:rsidP="0048737A">
            <w:pPr>
              <w:rPr>
                <w:rFonts w:ascii="Times New Roman" w:eastAsia="Times New Roman" w:hAnsi="Times New Roman" w:cs="Times New Roman"/>
                <w:sz w:val="24"/>
                <w:szCs w:val="24"/>
                <w:lang w:eastAsia="fr-FR"/>
              </w:rPr>
            </w:pPr>
            <w:r w:rsidRPr="004178D6">
              <w:rPr>
                <w:rFonts w:ascii="Times New Roman" w:eastAsia="Times New Roman" w:hAnsi="Times New Roman" w:cs="Times New Roman"/>
                <w:sz w:val="24"/>
                <w:szCs w:val="24"/>
                <w:lang w:eastAsia="fr-FR"/>
              </w:rPr>
              <w:t>RSE numérique, CSRD, Green AI, IA responsable, durabilité</w:t>
            </w:r>
          </w:p>
        </w:tc>
      </w:tr>
    </w:tbl>
    <w:p w14:paraId="09812A0E" w14:textId="77777777" w:rsidR="00B259CA" w:rsidRPr="004178D6" w:rsidRDefault="00B259CA" w:rsidP="00B259CA">
      <w:pPr>
        <w:rPr>
          <w:rFonts w:ascii="Times New Roman" w:hAnsi="Times New Roman" w:cs="Times New Roman"/>
        </w:rPr>
      </w:pPr>
    </w:p>
    <w:p w14:paraId="0AF2CF39" w14:textId="4C7FF1B7" w:rsidR="00B259CA" w:rsidRDefault="008D1053" w:rsidP="008D1053">
      <w:pPr>
        <w:pStyle w:val="Titre1"/>
        <w:numPr>
          <w:ilvl w:val="0"/>
          <w:numId w:val="3"/>
        </w:numPr>
        <w:rPr>
          <w:rFonts w:ascii="Times New Roman" w:hAnsi="Times New Roman" w:cs="Times New Roman"/>
        </w:rPr>
      </w:pPr>
      <w:bookmarkStart w:id="6" w:name="_Toc215843455"/>
      <w:r w:rsidRPr="004178D6">
        <w:rPr>
          <w:rFonts w:ascii="Times New Roman" w:hAnsi="Times New Roman" w:cs="Times New Roman"/>
        </w:rPr>
        <w:t>Méthode professionnelle de partage</w:t>
      </w:r>
      <w:bookmarkEnd w:id="6"/>
    </w:p>
    <w:p w14:paraId="037B39ED" w14:textId="4CBED490" w:rsidR="00870396" w:rsidRPr="00870396" w:rsidRDefault="00870396" w:rsidP="00870396">
      <w:pPr>
        <w:rPr>
          <w:rFonts w:ascii="Times New Roman" w:hAnsi="Times New Roman" w:cs="Times New Roman"/>
          <w:sz w:val="24"/>
          <w:szCs w:val="24"/>
        </w:rPr>
      </w:pPr>
      <w:r w:rsidRPr="00870396">
        <w:rPr>
          <w:rFonts w:ascii="Times New Roman" w:hAnsi="Times New Roman" w:cs="Times New Roman"/>
          <w:sz w:val="24"/>
          <w:szCs w:val="24"/>
        </w:rPr>
        <w:t>Notre méthodologie de partage s’appuie sur un dispositif combinant plusieurs supports complémentaires. Notion sert de base centrale, structurée et accessible, pour organiser la documentation et la mettre à disposition de l’ensemble de l’équipe. Les échanges courants et les informations ponctuelles sont relayés via Slack ou Teams, permettant une communication rapide et ciblée lorsque des résultats, alertes ou mises à jour doivent être diffusés. Enfin, un document de synthèse consolidé est produit afin d’offrir au management et aux parties prenantes une vision claire, stable et exploitable de l’ensemble du référentiel technologique.</w:t>
      </w:r>
    </w:p>
    <w:p w14:paraId="1834FF25" w14:textId="1DEA08AF" w:rsidR="008D1053" w:rsidRDefault="00385EF8" w:rsidP="008D1053">
      <w:pPr>
        <w:pStyle w:val="Titre2"/>
        <w:numPr>
          <w:ilvl w:val="1"/>
          <w:numId w:val="3"/>
        </w:numPr>
        <w:rPr>
          <w:rFonts w:ascii="Times New Roman" w:hAnsi="Times New Roman" w:cs="Times New Roman"/>
        </w:rPr>
      </w:pPr>
      <w:bookmarkStart w:id="7" w:name="_Toc215843456"/>
      <w:r w:rsidRPr="00385EF8">
        <w:rPr>
          <w:rFonts w:ascii="Times New Roman" w:hAnsi="Times New Roman" w:cs="Times New Roman"/>
        </w:rPr>
        <w:t xml:space="preserve">Outils utilisés pour </w:t>
      </w:r>
      <w:r w:rsidR="00870396">
        <w:rPr>
          <w:rFonts w:ascii="Times New Roman" w:hAnsi="Times New Roman" w:cs="Times New Roman"/>
        </w:rPr>
        <w:t xml:space="preserve">le partage de </w:t>
      </w:r>
      <w:r w:rsidRPr="00385EF8">
        <w:rPr>
          <w:rFonts w:ascii="Times New Roman" w:hAnsi="Times New Roman" w:cs="Times New Roman"/>
        </w:rPr>
        <w:t>cette veille statique</w:t>
      </w:r>
      <w:bookmarkEnd w:id="7"/>
    </w:p>
    <w:p w14:paraId="7DA10031" w14:textId="70EF361B" w:rsidR="00870396" w:rsidRPr="00870396" w:rsidRDefault="00870396" w:rsidP="00870396">
      <w:pPr>
        <w:pStyle w:val="Paragraphedeliste"/>
        <w:numPr>
          <w:ilvl w:val="0"/>
          <w:numId w:val="19"/>
        </w:numPr>
        <w:rPr>
          <w:rFonts w:ascii="Times New Roman" w:hAnsi="Times New Roman" w:cs="Times New Roman"/>
          <w:sz w:val="24"/>
          <w:szCs w:val="24"/>
        </w:rPr>
      </w:pPr>
      <w:r w:rsidRPr="00870396">
        <w:rPr>
          <w:rFonts w:ascii="Times New Roman" w:hAnsi="Times New Roman" w:cs="Times New Roman"/>
          <w:sz w:val="24"/>
          <w:szCs w:val="24"/>
        </w:rPr>
        <w:t>Notion</w:t>
      </w:r>
      <w:r>
        <w:rPr>
          <w:rFonts w:ascii="Times New Roman" w:hAnsi="Times New Roman" w:cs="Times New Roman"/>
          <w:sz w:val="24"/>
          <w:szCs w:val="24"/>
        </w:rPr>
        <w:t> :</w:t>
      </w:r>
      <w:r w:rsidRPr="00870396">
        <w:rPr>
          <w:rFonts w:ascii="Times New Roman" w:hAnsi="Times New Roman" w:cs="Times New Roman"/>
          <w:sz w:val="24"/>
          <w:szCs w:val="24"/>
        </w:rPr>
        <w:t xml:space="preserve"> </w:t>
      </w:r>
      <w:r>
        <w:rPr>
          <w:rFonts w:ascii="Times New Roman" w:hAnsi="Times New Roman" w:cs="Times New Roman"/>
          <w:sz w:val="24"/>
          <w:szCs w:val="24"/>
        </w:rPr>
        <w:t>b</w:t>
      </w:r>
      <w:r w:rsidRPr="00870396">
        <w:rPr>
          <w:rFonts w:ascii="Times New Roman" w:hAnsi="Times New Roman" w:cs="Times New Roman"/>
          <w:sz w:val="24"/>
          <w:szCs w:val="24"/>
        </w:rPr>
        <w:t>ase de données structurée pour la documentation et le partage avec l'équipe.</w:t>
      </w:r>
    </w:p>
    <w:p w14:paraId="457CC29C" w14:textId="49FA1CDA" w:rsidR="00870396" w:rsidRPr="00870396" w:rsidRDefault="00870396" w:rsidP="00870396">
      <w:pPr>
        <w:pStyle w:val="Paragraphedeliste"/>
        <w:numPr>
          <w:ilvl w:val="0"/>
          <w:numId w:val="19"/>
        </w:numPr>
        <w:rPr>
          <w:rFonts w:ascii="Times New Roman" w:hAnsi="Times New Roman" w:cs="Times New Roman"/>
          <w:sz w:val="24"/>
          <w:szCs w:val="24"/>
        </w:rPr>
      </w:pPr>
      <w:r w:rsidRPr="00870396">
        <w:rPr>
          <w:rFonts w:ascii="Times New Roman" w:hAnsi="Times New Roman" w:cs="Times New Roman"/>
          <w:sz w:val="24"/>
          <w:szCs w:val="24"/>
        </w:rPr>
        <w:t>Slack / Teams</w:t>
      </w:r>
      <w:r>
        <w:rPr>
          <w:rFonts w:ascii="Times New Roman" w:hAnsi="Times New Roman" w:cs="Times New Roman"/>
          <w:sz w:val="24"/>
          <w:szCs w:val="24"/>
        </w:rPr>
        <w:t> :</w:t>
      </w:r>
      <w:r w:rsidRPr="00870396">
        <w:rPr>
          <w:rFonts w:ascii="Times New Roman" w:hAnsi="Times New Roman" w:cs="Times New Roman"/>
          <w:sz w:val="24"/>
          <w:szCs w:val="24"/>
        </w:rPr>
        <w:t xml:space="preserve"> </w:t>
      </w:r>
      <w:r>
        <w:rPr>
          <w:rFonts w:ascii="Times New Roman" w:hAnsi="Times New Roman" w:cs="Times New Roman"/>
          <w:sz w:val="24"/>
          <w:szCs w:val="24"/>
        </w:rPr>
        <w:t>c</w:t>
      </w:r>
      <w:r w:rsidRPr="00870396">
        <w:rPr>
          <w:rFonts w:ascii="Times New Roman" w:hAnsi="Times New Roman" w:cs="Times New Roman"/>
          <w:sz w:val="24"/>
          <w:szCs w:val="24"/>
        </w:rPr>
        <w:t>ommunication des résultats et alertes ponctuelles à l'équipe</w:t>
      </w:r>
      <w:r>
        <w:rPr>
          <w:rFonts w:ascii="Times New Roman" w:hAnsi="Times New Roman" w:cs="Times New Roman"/>
          <w:sz w:val="24"/>
          <w:szCs w:val="24"/>
        </w:rPr>
        <w:t>.</w:t>
      </w:r>
    </w:p>
    <w:p w14:paraId="2ADA4136" w14:textId="05189A60" w:rsidR="002E6CC8" w:rsidRPr="002E6CC8" w:rsidRDefault="00870396" w:rsidP="002E6CC8">
      <w:pPr>
        <w:pStyle w:val="Paragraphedeliste"/>
        <w:numPr>
          <w:ilvl w:val="0"/>
          <w:numId w:val="19"/>
        </w:numPr>
        <w:rPr>
          <w:rFonts w:ascii="Times New Roman" w:hAnsi="Times New Roman" w:cs="Times New Roman"/>
          <w:sz w:val="24"/>
          <w:szCs w:val="24"/>
        </w:rPr>
      </w:pPr>
      <w:r w:rsidRPr="00870396">
        <w:rPr>
          <w:rFonts w:ascii="Times New Roman" w:hAnsi="Times New Roman" w:cs="Times New Roman"/>
          <w:sz w:val="24"/>
          <w:szCs w:val="24"/>
        </w:rPr>
        <w:t>Document de synthèse</w:t>
      </w:r>
      <w:r>
        <w:rPr>
          <w:rFonts w:ascii="Times New Roman" w:hAnsi="Times New Roman" w:cs="Times New Roman"/>
          <w:sz w:val="24"/>
          <w:szCs w:val="24"/>
        </w:rPr>
        <w:t> :</w:t>
      </w:r>
      <w:r w:rsidRPr="00870396">
        <w:rPr>
          <w:rFonts w:ascii="Times New Roman" w:hAnsi="Times New Roman" w:cs="Times New Roman"/>
          <w:sz w:val="24"/>
          <w:szCs w:val="24"/>
        </w:rPr>
        <w:t xml:space="preserve"> </w:t>
      </w:r>
      <w:r>
        <w:rPr>
          <w:rFonts w:ascii="Times New Roman" w:hAnsi="Times New Roman" w:cs="Times New Roman"/>
          <w:sz w:val="24"/>
          <w:szCs w:val="24"/>
        </w:rPr>
        <w:t>r</w:t>
      </w:r>
      <w:r w:rsidRPr="00870396">
        <w:rPr>
          <w:rFonts w:ascii="Times New Roman" w:hAnsi="Times New Roman" w:cs="Times New Roman"/>
          <w:sz w:val="24"/>
          <w:szCs w:val="24"/>
        </w:rPr>
        <w:t>éférentiel consolidé pour le management et les parties prenantes</w:t>
      </w:r>
      <w:r>
        <w:rPr>
          <w:rFonts w:ascii="Times New Roman" w:hAnsi="Times New Roman" w:cs="Times New Roman"/>
          <w:sz w:val="24"/>
          <w:szCs w:val="24"/>
        </w:rPr>
        <w:t>.</w:t>
      </w:r>
    </w:p>
    <w:p w14:paraId="61EB3324" w14:textId="284EE43F" w:rsidR="002E6CC8" w:rsidRPr="002E6CC8" w:rsidRDefault="002E6CC8" w:rsidP="002E6CC8">
      <w:pPr>
        <w:pStyle w:val="Titre2"/>
        <w:numPr>
          <w:ilvl w:val="1"/>
          <w:numId w:val="3"/>
        </w:numPr>
        <w:rPr>
          <w:rFonts w:ascii="Times New Roman" w:hAnsi="Times New Roman" w:cs="Times New Roman"/>
        </w:rPr>
      </w:pPr>
      <w:bookmarkStart w:id="8" w:name="_Toc215843457"/>
      <w:r w:rsidRPr="002E6CC8">
        <w:rPr>
          <w:rFonts w:ascii="Times New Roman" w:hAnsi="Times New Roman" w:cs="Times New Roman"/>
        </w:rPr>
        <w:lastRenderedPageBreak/>
        <w:t>Outils recommandés pour une future veille dynamique</w:t>
      </w:r>
      <w:bookmarkEnd w:id="8"/>
    </w:p>
    <w:p w14:paraId="3D55EC01" w14:textId="3DD98167" w:rsidR="002E6CC8" w:rsidRDefault="002E6CC8" w:rsidP="002E6CC8">
      <w:pPr>
        <w:pStyle w:val="NormalWeb"/>
        <w:ind w:left="360"/>
      </w:pPr>
      <w:r>
        <w:t>En cas d'évolution vers une veille continue, les outils suivants seraient pertinents :</w:t>
      </w:r>
    </w:p>
    <w:p w14:paraId="070A3961" w14:textId="0A420322" w:rsidR="002E6CC8" w:rsidRDefault="002E6CC8" w:rsidP="002E6CC8">
      <w:pPr>
        <w:pStyle w:val="NormalWeb"/>
        <w:ind w:left="360"/>
      </w:pPr>
      <w:r>
        <w:t>- Feedly → Agrégation automatique des sources par flux RSS</w:t>
      </w:r>
      <w:r>
        <w:br/>
        <w:t>- Zapier / Make → Automatisation entre Feedly et Notion</w:t>
      </w:r>
      <w:r>
        <w:br/>
        <w:t>- Google Alerts → Surveillance automatique de mots-clés critiques</w:t>
      </w:r>
      <w:r>
        <w:br/>
        <w:t>- Newsletter interne → Diffusion automatisée des synthèses mensuelles</w:t>
      </w:r>
    </w:p>
    <w:p w14:paraId="10A6AA4E" w14:textId="217EF842" w:rsidR="002E6CC8" w:rsidRPr="002E6CC8" w:rsidRDefault="002E6CC8" w:rsidP="002E6CC8">
      <w:pPr>
        <w:pStyle w:val="NormalWeb"/>
        <w:ind w:left="360"/>
      </w:pPr>
      <w:r>
        <w:t>Cette infrastructure n'est pas déployée actuellement mais constitue une feuille de route pour une surveillance continue future.</w:t>
      </w:r>
    </w:p>
    <w:p w14:paraId="4743652D" w14:textId="6EB030CC" w:rsidR="008D1053" w:rsidRPr="004178D6" w:rsidRDefault="008D1053" w:rsidP="008D1053">
      <w:pPr>
        <w:pStyle w:val="Titre1"/>
        <w:numPr>
          <w:ilvl w:val="0"/>
          <w:numId w:val="3"/>
        </w:numPr>
        <w:rPr>
          <w:rFonts w:ascii="Times New Roman" w:hAnsi="Times New Roman" w:cs="Times New Roman"/>
        </w:rPr>
      </w:pPr>
      <w:bookmarkStart w:id="9" w:name="_Toc215843458"/>
      <w:r w:rsidRPr="004178D6">
        <w:rPr>
          <w:rFonts w:ascii="Times New Roman" w:hAnsi="Times New Roman" w:cs="Times New Roman"/>
        </w:rPr>
        <w:t>Synthèse des résultats de la veille</w:t>
      </w:r>
      <w:bookmarkEnd w:id="9"/>
    </w:p>
    <w:p w14:paraId="115E320C" w14:textId="5525ED8F" w:rsidR="00B259CA" w:rsidRPr="004178D6" w:rsidRDefault="008D1053" w:rsidP="00B259CA">
      <w:pPr>
        <w:rPr>
          <w:rFonts w:ascii="Times New Roman" w:hAnsi="Times New Roman" w:cs="Times New Roman"/>
          <w:sz w:val="24"/>
          <w:szCs w:val="24"/>
        </w:rPr>
      </w:pPr>
      <w:r w:rsidRPr="004178D6">
        <w:rPr>
          <w:rFonts w:ascii="Times New Roman" w:hAnsi="Times New Roman" w:cs="Times New Roman"/>
          <w:sz w:val="24"/>
          <w:szCs w:val="24"/>
        </w:rPr>
        <w:t>La veille a permis d’identifier les grandes tendances actuelles du cloud, du Big Data et de la gouvernance des données à l’horizon 2025.</w:t>
      </w:r>
      <w:r w:rsidRPr="004178D6">
        <w:rPr>
          <w:rFonts w:ascii="Times New Roman" w:hAnsi="Times New Roman" w:cs="Times New Roman"/>
          <w:sz w:val="24"/>
          <w:szCs w:val="24"/>
        </w:rPr>
        <w:br/>
        <w:t>Les outils analysés (AWS S3, Snowflake, dbt, Databricks, Kafka, etc.) confirment la convergence entre infrastructures cloud, gouvernance, IA et durabilité.</w:t>
      </w:r>
    </w:p>
    <w:p w14:paraId="1D6E28BC" w14:textId="72582E2F" w:rsidR="008D1053" w:rsidRPr="008D1053" w:rsidRDefault="008D1053" w:rsidP="008D1053">
      <w:pPr>
        <w:pStyle w:val="Titre2"/>
        <w:numPr>
          <w:ilvl w:val="1"/>
          <w:numId w:val="3"/>
        </w:numPr>
        <w:rPr>
          <w:rFonts w:ascii="Times New Roman" w:hAnsi="Times New Roman" w:cs="Times New Roman"/>
        </w:rPr>
      </w:pPr>
      <w:bookmarkStart w:id="10" w:name="_Toc215843459"/>
      <w:r w:rsidRPr="008D1053">
        <w:rPr>
          <w:rFonts w:ascii="Times New Roman" w:hAnsi="Times New Roman" w:cs="Times New Roman"/>
        </w:rPr>
        <w:t>Cloud et data platform</w:t>
      </w:r>
      <w:bookmarkEnd w:id="10"/>
    </w:p>
    <w:p w14:paraId="261D806D" w14:textId="77777777" w:rsidR="008D1053" w:rsidRPr="008D1053" w:rsidRDefault="008D1053" w:rsidP="008D1053">
      <w:pPr>
        <w:rPr>
          <w:rFonts w:ascii="Times New Roman" w:hAnsi="Times New Roman" w:cs="Times New Roman"/>
          <w:sz w:val="24"/>
          <w:szCs w:val="24"/>
        </w:rPr>
      </w:pPr>
      <w:r w:rsidRPr="008D1053">
        <w:rPr>
          <w:rFonts w:ascii="Times New Roman" w:hAnsi="Times New Roman" w:cs="Times New Roman"/>
          <w:sz w:val="24"/>
          <w:szCs w:val="24"/>
        </w:rPr>
        <w:t>Les solutions cloud (AWS S3, Snowflake, Databricks) évoluent vers des plateformes unifiées, intégrant nativement la gouvernance, la sécurité et l’intelligence artificielle.</w:t>
      </w:r>
      <w:r w:rsidRPr="008D1053">
        <w:rPr>
          <w:rFonts w:ascii="Times New Roman" w:hAnsi="Times New Roman" w:cs="Times New Roman"/>
          <w:sz w:val="24"/>
          <w:szCs w:val="24"/>
        </w:rPr>
        <w:br/>
        <w:t>Les nouveautés 2024–2025 (S3 Tables, Snowflake AI Native, Unity Catalog) renforcent la traçabilité et la maîtrise des coûts, tout en répondant aux besoins de scalabilité et d’automatisation des pipelines.</w:t>
      </w:r>
    </w:p>
    <w:p w14:paraId="54D49E0D" w14:textId="7927188E" w:rsidR="008D1053" w:rsidRPr="008D1053" w:rsidRDefault="008D1053" w:rsidP="008D1053">
      <w:pPr>
        <w:pStyle w:val="Titre2"/>
        <w:numPr>
          <w:ilvl w:val="1"/>
          <w:numId w:val="3"/>
        </w:numPr>
        <w:rPr>
          <w:rFonts w:ascii="Times New Roman" w:hAnsi="Times New Roman" w:cs="Times New Roman"/>
        </w:rPr>
      </w:pPr>
      <w:bookmarkStart w:id="11" w:name="_Toc215843460"/>
      <w:r w:rsidRPr="008D1053">
        <w:rPr>
          <w:rFonts w:ascii="Times New Roman" w:hAnsi="Times New Roman" w:cs="Times New Roman"/>
        </w:rPr>
        <w:t>Modélisation et transformation des données</w:t>
      </w:r>
      <w:bookmarkEnd w:id="11"/>
    </w:p>
    <w:p w14:paraId="7BC04B5C" w14:textId="77777777" w:rsidR="008D1053" w:rsidRPr="008D1053" w:rsidRDefault="008D1053" w:rsidP="008D1053">
      <w:pPr>
        <w:rPr>
          <w:rFonts w:ascii="Times New Roman" w:hAnsi="Times New Roman" w:cs="Times New Roman"/>
          <w:sz w:val="24"/>
          <w:szCs w:val="24"/>
        </w:rPr>
      </w:pPr>
      <w:r w:rsidRPr="008D1053">
        <w:rPr>
          <w:rFonts w:ascii="Times New Roman" w:hAnsi="Times New Roman" w:cs="Times New Roman"/>
          <w:sz w:val="24"/>
          <w:szCs w:val="24"/>
        </w:rPr>
        <w:t>dbt s’impose comme un standard pour le data lineage, la documentation et les tests automatiques.</w:t>
      </w:r>
      <w:r w:rsidRPr="008D1053">
        <w:rPr>
          <w:rFonts w:ascii="Times New Roman" w:hAnsi="Times New Roman" w:cs="Times New Roman"/>
          <w:sz w:val="24"/>
          <w:szCs w:val="24"/>
        </w:rPr>
        <w:br/>
        <w:t>Combiné à Spark ou à Kafka, il permet une industrialisation maîtrisée des traitements ELT/ETL et une meilleure qualité des jeux de données, essentielle à toute démarche d’IA responsable.</w:t>
      </w:r>
    </w:p>
    <w:p w14:paraId="1B18052E" w14:textId="1C5A671C" w:rsidR="008D1053" w:rsidRPr="008D1053" w:rsidRDefault="008D1053" w:rsidP="008D1053">
      <w:pPr>
        <w:pStyle w:val="Titre2"/>
        <w:numPr>
          <w:ilvl w:val="1"/>
          <w:numId w:val="3"/>
        </w:numPr>
        <w:rPr>
          <w:rFonts w:ascii="Times New Roman" w:hAnsi="Times New Roman" w:cs="Times New Roman"/>
        </w:rPr>
      </w:pPr>
      <w:bookmarkStart w:id="12" w:name="_Toc215843461"/>
      <w:r w:rsidRPr="008D1053">
        <w:rPr>
          <w:rFonts w:ascii="Times New Roman" w:hAnsi="Times New Roman" w:cs="Times New Roman"/>
        </w:rPr>
        <w:t>Machine Learning et IA</w:t>
      </w:r>
      <w:bookmarkEnd w:id="12"/>
    </w:p>
    <w:p w14:paraId="038B79D3" w14:textId="77777777" w:rsidR="008D1053" w:rsidRPr="008D1053" w:rsidRDefault="008D1053" w:rsidP="008D1053">
      <w:pPr>
        <w:rPr>
          <w:rFonts w:ascii="Times New Roman" w:hAnsi="Times New Roman" w:cs="Times New Roman"/>
          <w:sz w:val="24"/>
          <w:szCs w:val="24"/>
        </w:rPr>
      </w:pPr>
      <w:r w:rsidRPr="008D1053">
        <w:rPr>
          <w:rFonts w:ascii="Times New Roman" w:hAnsi="Times New Roman" w:cs="Times New Roman"/>
          <w:sz w:val="24"/>
          <w:szCs w:val="24"/>
        </w:rPr>
        <w:t>Les outils de type SageMaker et Milvus montrent la tendance vers des environnements intégrés, modulaires et sécurisés.</w:t>
      </w:r>
      <w:r w:rsidRPr="008D1053">
        <w:rPr>
          <w:rFonts w:ascii="Times New Roman" w:hAnsi="Times New Roman" w:cs="Times New Roman"/>
          <w:sz w:val="24"/>
          <w:szCs w:val="24"/>
        </w:rPr>
        <w:br/>
        <w:t>SageMaker (Unified Studio) centralise les phases de MLOps, tandis que Milvus offre un stockage vectoriel performant pour la recherche sémantique et les applications de LLM.</w:t>
      </w:r>
      <w:r w:rsidRPr="008D1053">
        <w:rPr>
          <w:rFonts w:ascii="Times New Roman" w:hAnsi="Times New Roman" w:cs="Times New Roman"/>
          <w:sz w:val="24"/>
          <w:szCs w:val="24"/>
        </w:rPr>
        <w:br/>
        <w:t>L’objectif commun est de rapprocher la donnée de l’intelligence artificielle, sans la déplacer inutilement.</w:t>
      </w:r>
    </w:p>
    <w:p w14:paraId="18CD4B67" w14:textId="05DFBBC7" w:rsidR="008D1053" w:rsidRPr="008D1053" w:rsidRDefault="008D1053" w:rsidP="008D1053">
      <w:pPr>
        <w:pStyle w:val="Titre2"/>
        <w:numPr>
          <w:ilvl w:val="1"/>
          <w:numId w:val="3"/>
        </w:numPr>
        <w:rPr>
          <w:rFonts w:ascii="Times New Roman" w:hAnsi="Times New Roman" w:cs="Times New Roman"/>
        </w:rPr>
      </w:pPr>
      <w:bookmarkStart w:id="13" w:name="_Toc215843462"/>
      <w:r w:rsidRPr="008D1053">
        <w:rPr>
          <w:rFonts w:ascii="Times New Roman" w:hAnsi="Times New Roman" w:cs="Times New Roman"/>
        </w:rPr>
        <w:t>Cadre réglementaire</w:t>
      </w:r>
      <w:bookmarkEnd w:id="13"/>
    </w:p>
    <w:p w14:paraId="16D2674B" w14:textId="77777777" w:rsidR="008D1053" w:rsidRPr="008D1053" w:rsidRDefault="008D1053" w:rsidP="008D1053">
      <w:pPr>
        <w:rPr>
          <w:rFonts w:ascii="Times New Roman" w:hAnsi="Times New Roman" w:cs="Times New Roman"/>
          <w:sz w:val="24"/>
          <w:szCs w:val="24"/>
        </w:rPr>
      </w:pPr>
      <w:r w:rsidRPr="008D1053">
        <w:rPr>
          <w:rFonts w:ascii="Times New Roman" w:hAnsi="Times New Roman" w:cs="Times New Roman"/>
          <w:sz w:val="24"/>
          <w:szCs w:val="24"/>
        </w:rPr>
        <w:t>La réglementation (RGPD, AI Act, CCPA) continue d’évoluer pour encadrer l’usage des données et des modèles d’IA.</w:t>
      </w:r>
      <w:r w:rsidRPr="008D1053">
        <w:rPr>
          <w:rFonts w:ascii="Times New Roman" w:hAnsi="Times New Roman" w:cs="Times New Roman"/>
          <w:sz w:val="24"/>
          <w:szCs w:val="24"/>
        </w:rPr>
        <w:br/>
        <w:t xml:space="preserve">Les entreprises doivent anticiper les obligations de transparence, d’auditabilité et de protection des données personnelles, notamment dans le contexte du traitement de données </w:t>
      </w:r>
      <w:r w:rsidRPr="008D1053">
        <w:rPr>
          <w:rFonts w:ascii="Times New Roman" w:hAnsi="Times New Roman" w:cs="Times New Roman"/>
          <w:sz w:val="24"/>
          <w:szCs w:val="24"/>
        </w:rPr>
        <w:lastRenderedPageBreak/>
        <w:t>clients à grande échelle.</w:t>
      </w:r>
      <w:r w:rsidRPr="008D1053">
        <w:rPr>
          <w:rFonts w:ascii="Times New Roman" w:hAnsi="Times New Roman" w:cs="Times New Roman"/>
          <w:sz w:val="24"/>
          <w:szCs w:val="24"/>
        </w:rPr>
        <w:br/>
        <w:t>L’AI Act, en cours de déploiement, impose de nouvelles exigences de documentation, d’explicabilité et de gestion du risque algorithmique.</w:t>
      </w:r>
    </w:p>
    <w:p w14:paraId="20D1568E" w14:textId="6051907D" w:rsidR="008D1053" w:rsidRPr="008D1053" w:rsidRDefault="008D1053" w:rsidP="008D1053">
      <w:pPr>
        <w:pStyle w:val="Titre2"/>
        <w:numPr>
          <w:ilvl w:val="1"/>
          <w:numId w:val="3"/>
        </w:numPr>
        <w:rPr>
          <w:rFonts w:ascii="Times New Roman" w:hAnsi="Times New Roman" w:cs="Times New Roman"/>
        </w:rPr>
      </w:pPr>
      <w:bookmarkStart w:id="14" w:name="_Toc215843463"/>
      <w:r w:rsidRPr="008D1053">
        <w:rPr>
          <w:rFonts w:ascii="Times New Roman" w:hAnsi="Times New Roman" w:cs="Times New Roman"/>
        </w:rPr>
        <w:t>Responsabilité sociétale et environnementale (RSE)</w:t>
      </w:r>
      <w:bookmarkEnd w:id="14"/>
    </w:p>
    <w:p w14:paraId="19F242CE" w14:textId="77777777" w:rsidR="008D1053" w:rsidRPr="008D1053" w:rsidRDefault="008D1053" w:rsidP="008D1053">
      <w:pPr>
        <w:rPr>
          <w:rFonts w:ascii="Times New Roman" w:hAnsi="Times New Roman" w:cs="Times New Roman"/>
        </w:rPr>
      </w:pPr>
      <w:r w:rsidRPr="008D1053">
        <w:rPr>
          <w:rFonts w:ascii="Times New Roman" w:hAnsi="Times New Roman" w:cs="Times New Roman"/>
          <w:sz w:val="24"/>
          <w:szCs w:val="24"/>
        </w:rPr>
        <w:t>La dimension RSE émerge comme un pilier de la gouvernance data.</w:t>
      </w:r>
      <w:r w:rsidRPr="008D1053">
        <w:rPr>
          <w:rFonts w:ascii="Times New Roman" w:hAnsi="Times New Roman" w:cs="Times New Roman"/>
          <w:sz w:val="24"/>
          <w:szCs w:val="24"/>
        </w:rPr>
        <w:br/>
        <w:t>Les initiatives “Green AI” et “Numérique Responsable” (Numeum, GreenIT.eco) insistent sur la sobriété énergétique, la durabilité des infrastructures cloud, et l’intégration d’indicateurs environnementaux dans les projets data.</w:t>
      </w:r>
      <w:r w:rsidRPr="008D1053">
        <w:rPr>
          <w:rFonts w:ascii="Times New Roman" w:hAnsi="Times New Roman" w:cs="Times New Roman"/>
        </w:rPr>
        <w:br/>
      </w:r>
      <w:r w:rsidRPr="008D1053">
        <w:rPr>
          <w:rFonts w:ascii="Times New Roman" w:hAnsi="Times New Roman" w:cs="Times New Roman"/>
          <w:sz w:val="24"/>
          <w:szCs w:val="24"/>
        </w:rPr>
        <w:t>Cette tendance traduit une mutation de la data en un actif éthique et soutenable, non seulement performant.</w:t>
      </w:r>
    </w:p>
    <w:p w14:paraId="1AEDCF18" w14:textId="2F0B6800" w:rsidR="008D1053" w:rsidRPr="004178D6" w:rsidRDefault="008D1053" w:rsidP="00AC6183">
      <w:pPr>
        <w:pStyle w:val="Titre1"/>
        <w:numPr>
          <w:ilvl w:val="0"/>
          <w:numId w:val="3"/>
        </w:numPr>
        <w:rPr>
          <w:rFonts w:ascii="Times New Roman" w:hAnsi="Times New Roman" w:cs="Times New Roman"/>
        </w:rPr>
      </w:pPr>
      <w:bookmarkStart w:id="15" w:name="_Toc215843464"/>
      <w:r w:rsidRPr="004178D6">
        <w:rPr>
          <w:rFonts w:ascii="Times New Roman" w:hAnsi="Times New Roman" w:cs="Times New Roman"/>
        </w:rPr>
        <w:t>Conclusion</w:t>
      </w:r>
      <w:bookmarkEnd w:id="15"/>
    </w:p>
    <w:p w14:paraId="2BFAAA07" w14:textId="77777777" w:rsidR="008D1053" w:rsidRPr="008D1053" w:rsidRDefault="008D1053" w:rsidP="008D1053">
      <w:pPr>
        <w:rPr>
          <w:rFonts w:ascii="Times New Roman" w:hAnsi="Times New Roman" w:cs="Times New Roman"/>
          <w:sz w:val="24"/>
          <w:szCs w:val="24"/>
        </w:rPr>
      </w:pPr>
      <w:r w:rsidRPr="008D1053">
        <w:rPr>
          <w:rFonts w:ascii="Times New Roman" w:hAnsi="Times New Roman" w:cs="Times New Roman"/>
          <w:sz w:val="24"/>
          <w:szCs w:val="24"/>
        </w:rPr>
        <w:t>Cette veille met en évidence la maturité croissante de l’écosystème data &amp; cloud, désormais structuré autour de trois axes stratégiques :</w:t>
      </w:r>
    </w:p>
    <w:p w14:paraId="4A59A323" w14:textId="77777777" w:rsidR="008D1053" w:rsidRPr="004178D6" w:rsidRDefault="008D1053" w:rsidP="00AC6183">
      <w:pPr>
        <w:pStyle w:val="Paragraphedeliste"/>
        <w:numPr>
          <w:ilvl w:val="0"/>
          <w:numId w:val="16"/>
        </w:numPr>
        <w:rPr>
          <w:rFonts w:ascii="Times New Roman" w:hAnsi="Times New Roman" w:cs="Times New Roman"/>
          <w:sz w:val="24"/>
          <w:szCs w:val="24"/>
        </w:rPr>
      </w:pPr>
      <w:r w:rsidRPr="004178D6">
        <w:rPr>
          <w:rFonts w:ascii="Times New Roman" w:hAnsi="Times New Roman" w:cs="Times New Roman"/>
          <w:sz w:val="24"/>
          <w:szCs w:val="24"/>
        </w:rPr>
        <w:t>L’intégration technologique : les frontières entre stockage, gouvernance et IA s’effacent au profit de plateformes unifiées (Snowflake, Databricks, AWS).</w:t>
      </w:r>
    </w:p>
    <w:p w14:paraId="6BD45253" w14:textId="77777777" w:rsidR="008D1053" w:rsidRPr="004178D6" w:rsidRDefault="008D1053" w:rsidP="00AC6183">
      <w:pPr>
        <w:pStyle w:val="Paragraphedeliste"/>
        <w:numPr>
          <w:ilvl w:val="0"/>
          <w:numId w:val="16"/>
        </w:numPr>
        <w:rPr>
          <w:rFonts w:ascii="Times New Roman" w:hAnsi="Times New Roman" w:cs="Times New Roman"/>
          <w:sz w:val="24"/>
          <w:szCs w:val="24"/>
        </w:rPr>
      </w:pPr>
      <w:r w:rsidRPr="004178D6">
        <w:rPr>
          <w:rFonts w:ascii="Times New Roman" w:hAnsi="Times New Roman" w:cs="Times New Roman"/>
          <w:sz w:val="24"/>
          <w:szCs w:val="24"/>
        </w:rPr>
        <w:t>La conformité et la transparence : la régulation (RGPD, AI Act, CCPA) devient un facteur d’innovation autant que de contrainte, guidant les pratiques de gouvernance et de documentation.</w:t>
      </w:r>
    </w:p>
    <w:p w14:paraId="4B672779" w14:textId="77777777" w:rsidR="008D1053" w:rsidRPr="004178D6" w:rsidRDefault="008D1053" w:rsidP="00AC6183">
      <w:pPr>
        <w:pStyle w:val="Paragraphedeliste"/>
        <w:numPr>
          <w:ilvl w:val="0"/>
          <w:numId w:val="16"/>
        </w:numPr>
        <w:rPr>
          <w:rFonts w:ascii="Times New Roman" w:hAnsi="Times New Roman" w:cs="Times New Roman"/>
          <w:sz w:val="24"/>
          <w:szCs w:val="24"/>
        </w:rPr>
      </w:pPr>
      <w:r w:rsidRPr="004178D6">
        <w:rPr>
          <w:rFonts w:ascii="Times New Roman" w:hAnsi="Times New Roman" w:cs="Times New Roman"/>
          <w:sz w:val="24"/>
          <w:szCs w:val="24"/>
        </w:rPr>
        <w:t>La durabilité et la responsabilité : la RSE s’impose comme un levier d’optimisation éthique et environnementale, soutenue par des initiatives sectorielles (Green AI, Numeum, GreenIT.eco).</w:t>
      </w:r>
    </w:p>
    <w:p w14:paraId="62402B40" w14:textId="1CA564D6" w:rsidR="00680BFC" w:rsidRDefault="008D1053">
      <w:pPr>
        <w:rPr>
          <w:rFonts w:ascii="Times New Roman" w:hAnsi="Times New Roman" w:cs="Times New Roman"/>
          <w:sz w:val="24"/>
          <w:szCs w:val="24"/>
        </w:rPr>
      </w:pPr>
      <w:r w:rsidRPr="008D1053">
        <w:rPr>
          <w:rFonts w:ascii="Times New Roman" w:hAnsi="Times New Roman" w:cs="Times New Roman"/>
          <w:sz w:val="24"/>
          <w:szCs w:val="24"/>
        </w:rPr>
        <w:t>En somme, les tendances 2024–2025 confirment que la valeur de la donnée ne repose plus uniquement sur la puissance technologique, mais sur sa qualité, sa conformité et sa soutenabilité.</w:t>
      </w:r>
      <w:r w:rsidRPr="008D1053">
        <w:rPr>
          <w:rFonts w:ascii="Times New Roman" w:hAnsi="Times New Roman" w:cs="Times New Roman"/>
          <w:sz w:val="24"/>
          <w:szCs w:val="24"/>
        </w:rPr>
        <w:br/>
        <w:t>Les entreprises qui parviennent à articuler ces trois dimensions — performance, gouvernance et responsabilité — disposeront d’un avantage compétitif durable.</w:t>
      </w:r>
    </w:p>
    <w:p w14:paraId="3EC3F38E" w14:textId="77777777" w:rsidR="00B718C3" w:rsidRDefault="00B718C3">
      <w:pPr>
        <w:rPr>
          <w:rFonts w:ascii="Times New Roman" w:hAnsi="Times New Roman" w:cs="Times New Roman"/>
          <w:sz w:val="24"/>
          <w:szCs w:val="24"/>
        </w:rPr>
      </w:pPr>
    </w:p>
    <w:p w14:paraId="433A56D8" w14:textId="77777777" w:rsidR="00B718C3" w:rsidRDefault="00B718C3">
      <w:pPr>
        <w:rPr>
          <w:rFonts w:ascii="Times New Roman" w:hAnsi="Times New Roman" w:cs="Times New Roman"/>
          <w:sz w:val="24"/>
          <w:szCs w:val="24"/>
        </w:rPr>
      </w:pPr>
    </w:p>
    <w:p w14:paraId="0FA40A51" w14:textId="77777777" w:rsidR="00B718C3" w:rsidRDefault="00B718C3">
      <w:pPr>
        <w:rPr>
          <w:rFonts w:ascii="Times New Roman" w:hAnsi="Times New Roman" w:cs="Times New Roman"/>
          <w:sz w:val="24"/>
          <w:szCs w:val="24"/>
        </w:rPr>
      </w:pPr>
    </w:p>
    <w:p w14:paraId="5158BAA5" w14:textId="77777777" w:rsidR="00B718C3" w:rsidRDefault="00B718C3">
      <w:pPr>
        <w:rPr>
          <w:rFonts w:ascii="Times New Roman" w:hAnsi="Times New Roman" w:cs="Times New Roman"/>
          <w:sz w:val="24"/>
          <w:szCs w:val="24"/>
        </w:rPr>
      </w:pPr>
    </w:p>
    <w:p w14:paraId="1B4BF21A" w14:textId="77777777" w:rsidR="00B718C3" w:rsidRDefault="00B718C3">
      <w:pPr>
        <w:rPr>
          <w:rFonts w:ascii="Times New Roman" w:hAnsi="Times New Roman" w:cs="Times New Roman"/>
          <w:sz w:val="24"/>
          <w:szCs w:val="24"/>
        </w:rPr>
      </w:pPr>
    </w:p>
    <w:p w14:paraId="6131B9D6" w14:textId="77777777" w:rsidR="00B718C3" w:rsidRDefault="00B718C3">
      <w:pPr>
        <w:rPr>
          <w:rFonts w:ascii="Times New Roman" w:hAnsi="Times New Roman" w:cs="Times New Roman"/>
          <w:sz w:val="24"/>
          <w:szCs w:val="24"/>
        </w:rPr>
      </w:pPr>
    </w:p>
    <w:p w14:paraId="06064ACA" w14:textId="77777777" w:rsidR="00B718C3" w:rsidRDefault="00B718C3">
      <w:pPr>
        <w:rPr>
          <w:rFonts w:ascii="Times New Roman" w:hAnsi="Times New Roman" w:cs="Times New Roman"/>
          <w:sz w:val="24"/>
          <w:szCs w:val="24"/>
        </w:rPr>
      </w:pPr>
    </w:p>
    <w:p w14:paraId="76B07F48" w14:textId="77777777" w:rsidR="00B718C3" w:rsidRPr="004178D6" w:rsidRDefault="00B718C3">
      <w:pPr>
        <w:rPr>
          <w:rFonts w:ascii="Times New Roman" w:hAnsi="Times New Roman" w:cs="Times New Roman"/>
          <w:sz w:val="24"/>
          <w:szCs w:val="24"/>
        </w:rPr>
      </w:pPr>
    </w:p>
    <w:p w14:paraId="6525DA16" w14:textId="1A9823B4" w:rsidR="00680BFC" w:rsidRPr="004178D6" w:rsidRDefault="00680BFC" w:rsidP="00680BFC">
      <w:pPr>
        <w:pStyle w:val="Titre1"/>
        <w:numPr>
          <w:ilvl w:val="0"/>
          <w:numId w:val="3"/>
        </w:numPr>
        <w:rPr>
          <w:rFonts w:ascii="Times New Roman" w:hAnsi="Times New Roman" w:cs="Times New Roman"/>
        </w:rPr>
      </w:pPr>
      <w:bookmarkStart w:id="16" w:name="_Toc215843465"/>
      <w:r w:rsidRPr="004178D6">
        <w:rPr>
          <w:rFonts w:ascii="Times New Roman" w:hAnsi="Times New Roman" w:cs="Times New Roman"/>
        </w:rPr>
        <w:lastRenderedPageBreak/>
        <w:t>Références</w:t>
      </w:r>
      <w:bookmarkEnd w:id="16"/>
    </w:p>
    <w:p w14:paraId="165C4BC0" w14:textId="77777777"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9" w:history="1">
        <w:r w:rsidRPr="004178D6">
          <w:rPr>
            <w:rStyle w:val="Lienhypertexte"/>
            <w:rFonts w:ascii="Times New Roman" w:hAnsi="Times New Roman" w:cs="Times New Roman"/>
            <w:sz w:val="24"/>
            <w:szCs w:val="24"/>
          </w:rPr>
          <w:t>Technology Watch Template</w:t>
        </w:r>
      </w:hyperlink>
    </w:p>
    <w:p w14:paraId="6DD2C111" w14:textId="77777777"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10" w:history="1">
        <w:r w:rsidRPr="004178D6">
          <w:rPr>
            <w:rStyle w:val="Lienhypertexte"/>
            <w:rFonts w:ascii="Times New Roman" w:hAnsi="Times New Roman" w:cs="Times New Roman"/>
            <w:sz w:val="24"/>
            <w:szCs w:val="24"/>
          </w:rPr>
          <w:t>Source evaluation methodology</w:t>
        </w:r>
      </w:hyperlink>
    </w:p>
    <w:p w14:paraId="49458B7B" w14:textId="77777777"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lang w:val="en-US"/>
        </w:rPr>
      </w:pPr>
      <w:hyperlink r:id="rId11" w:history="1">
        <w:r w:rsidRPr="004178D6">
          <w:rPr>
            <w:rStyle w:val="Lienhypertexte"/>
            <w:rFonts w:ascii="Times New Roman" w:hAnsi="Times New Roman" w:cs="Times New Roman"/>
            <w:sz w:val="24"/>
            <w:szCs w:val="24"/>
            <w:lang w:val="en-US"/>
          </w:rPr>
          <w:t>A great example of newsletter that keeps everything concise and may serve as a template for your summary page</w:t>
        </w:r>
      </w:hyperlink>
    </w:p>
    <w:p w14:paraId="30331CA9" w14:textId="77777777"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12" w:history="1">
        <w:r w:rsidRPr="004178D6">
          <w:rPr>
            <w:rStyle w:val="Lienhypertexte"/>
            <w:rFonts w:ascii="Times New Roman" w:hAnsi="Times New Roman" w:cs="Times New Roman"/>
            <w:sz w:val="24"/>
            <w:szCs w:val="24"/>
          </w:rPr>
          <w:t>RGAA</w:t>
        </w:r>
      </w:hyperlink>
    </w:p>
    <w:p w14:paraId="33DF5198" w14:textId="77777777"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13" w:history="1">
        <w:r w:rsidRPr="004178D6">
          <w:rPr>
            <w:rStyle w:val="Lienhypertexte"/>
            <w:rFonts w:ascii="Times New Roman" w:hAnsi="Times New Roman" w:cs="Times New Roman"/>
            <w:sz w:val="24"/>
            <w:szCs w:val="24"/>
          </w:rPr>
          <w:t>CNIL</w:t>
        </w:r>
      </w:hyperlink>
    </w:p>
    <w:p w14:paraId="1949F1AA" w14:textId="77777777"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14" w:history="1">
        <w:r w:rsidRPr="004178D6">
          <w:rPr>
            <w:rStyle w:val="Lienhypertexte"/>
            <w:rFonts w:ascii="Times New Roman" w:hAnsi="Times New Roman" w:cs="Times New Roman"/>
            <w:sz w:val="24"/>
            <w:szCs w:val="24"/>
          </w:rPr>
          <w:t>La responsabilité sociétale des entreprises (RSE) Insee</w:t>
        </w:r>
      </w:hyperlink>
      <w:r w:rsidRPr="004178D6">
        <w:rPr>
          <w:rFonts w:ascii="Times New Roman" w:hAnsi="Times New Roman" w:cs="Times New Roman"/>
          <w:sz w:val="24"/>
          <w:szCs w:val="24"/>
        </w:rPr>
        <w:t>.</w:t>
      </w:r>
    </w:p>
    <w:p w14:paraId="44C8B823" w14:textId="77777777"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15" w:history="1">
        <w:r w:rsidRPr="004178D6">
          <w:rPr>
            <w:rStyle w:val="Lienhypertexte"/>
            <w:rFonts w:ascii="Times New Roman" w:hAnsi="Times New Roman" w:cs="Times New Roman"/>
            <w:sz w:val="24"/>
            <w:szCs w:val="24"/>
          </w:rPr>
          <w:t>RSE Economie.gouv</w:t>
        </w:r>
      </w:hyperlink>
    </w:p>
    <w:p w14:paraId="634CE517" w14:textId="77777777"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16" w:history="1">
        <w:r w:rsidRPr="004178D6">
          <w:rPr>
            <w:rStyle w:val="Lienhypertexte"/>
            <w:rFonts w:ascii="Times New Roman" w:hAnsi="Times New Roman" w:cs="Times New Roman"/>
            <w:sz w:val="24"/>
            <w:szCs w:val="24"/>
          </w:rPr>
          <w:t>CCPA California Consumer Privacy Act</w:t>
        </w:r>
      </w:hyperlink>
    </w:p>
    <w:p w14:paraId="66B0BD83" w14:textId="22F32A04"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17" w:history="1">
        <w:r w:rsidRPr="004178D6">
          <w:rPr>
            <w:rStyle w:val="Lienhypertexte"/>
            <w:rFonts w:ascii="Times New Roman" w:hAnsi="Times New Roman" w:cs="Times New Roman"/>
            <w:sz w:val="24"/>
            <w:szCs w:val="24"/>
          </w:rPr>
          <w:t>https://aws.amazon.com/blogs/aws/aws-weekly-roundup-amazon-s3-amazon-ec2-and-more-november-10-2025</w:t>
        </w:r>
      </w:hyperlink>
    </w:p>
    <w:p w14:paraId="6672FF60" w14:textId="53DF445C"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18" w:history="1">
        <w:r w:rsidRPr="004178D6">
          <w:rPr>
            <w:rStyle w:val="Lienhypertexte"/>
            <w:rFonts w:ascii="Times New Roman" w:hAnsi="Times New Roman" w:cs="Times New Roman"/>
            <w:sz w:val="24"/>
            <w:szCs w:val="24"/>
          </w:rPr>
          <w:t>https://www.snowflake.com/en/blog/announcements-snowflake-summit-2025/</w:t>
        </w:r>
      </w:hyperlink>
    </w:p>
    <w:p w14:paraId="5DDC6031" w14:textId="4AD3D32E"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19" w:history="1">
        <w:r w:rsidRPr="004178D6">
          <w:rPr>
            <w:rStyle w:val="Lienhypertexte"/>
            <w:rFonts w:ascii="Times New Roman" w:hAnsi="Times New Roman" w:cs="Times New Roman"/>
            <w:sz w:val="24"/>
            <w:szCs w:val="24"/>
          </w:rPr>
          <w:t>https://docs.getdbt.com/docs/dbt-versions/dbt-cloud-release-notes</w:t>
        </w:r>
      </w:hyperlink>
    </w:p>
    <w:p w14:paraId="49E6C9A5" w14:textId="09A73D6A"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20" w:history="1">
        <w:r w:rsidRPr="004178D6">
          <w:rPr>
            <w:rStyle w:val="Lienhypertexte"/>
            <w:rFonts w:ascii="Times New Roman" w:hAnsi="Times New Roman" w:cs="Times New Roman"/>
            <w:sz w:val="24"/>
            <w:szCs w:val="24"/>
          </w:rPr>
          <w:t>https://spark.apache.org/news</w:t>
        </w:r>
      </w:hyperlink>
    </w:p>
    <w:p w14:paraId="4BF6AA84" w14:textId="459CA383"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21" w:history="1">
        <w:r w:rsidRPr="004178D6">
          <w:rPr>
            <w:rStyle w:val="Lienhypertexte"/>
            <w:rFonts w:ascii="Times New Roman" w:hAnsi="Times New Roman" w:cs="Times New Roman"/>
            <w:sz w:val="24"/>
            <w:szCs w:val="24"/>
          </w:rPr>
          <w:t>https://kafka.apache.org/downloads</w:t>
        </w:r>
      </w:hyperlink>
    </w:p>
    <w:p w14:paraId="5BB38519" w14:textId="3AB0C7D3"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22" w:history="1">
        <w:r w:rsidRPr="004178D6">
          <w:rPr>
            <w:rStyle w:val="Lienhypertexte"/>
            <w:rFonts w:ascii="Times New Roman" w:hAnsi="Times New Roman" w:cs="Times New Roman"/>
            <w:sz w:val="24"/>
            <w:szCs w:val="24"/>
          </w:rPr>
          <w:t>https://www.databricks.com/blog/whats-new-databricks-unity-catalog-data-ai-summit-2025</w:t>
        </w:r>
      </w:hyperlink>
    </w:p>
    <w:p w14:paraId="172D57A5" w14:textId="265A5A23"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23" w:history="1">
        <w:r w:rsidRPr="004178D6">
          <w:rPr>
            <w:rStyle w:val="Lienhypertexte"/>
            <w:rFonts w:ascii="Times New Roman" w:hAnsi="Times New Roman" w:cs="Times New Roman"/>
            <w:sz w:val="24"/>
            <w:szCs w:val="24"/>
          </w:rPr>
          <w:t>https://aws.amazon.com/about-aws/whats-new/2024/12/next-generation-amazon-sagemaker</w:t>
        </w:r>
      </w:hyperlink>
    </w:p>
    <w:p w14:paraId="761611D3" w14:textId="25C681EF"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24" w:history="1">
        <w:r w:rsidRPr="004178D6">
          <w:rPr>
            <w:rStyle w:val="Lienhypertexte"/>
            <w:rFonts w:ascii="Times New Roman" w:hAnsi="Times New Roman" w:cs="Times New Roman"/>
            <w:sz w:val="24"/>
            <w:szCs w:val="24"/>
          </w:rPr>
          <w:t>https://milvus.io/docs/v2.4.x/overview.md</w:t>
        </w:r>
      </w:hyperlink>
    </w:p>
    <w:p w14:paraId="4EC6EBD7" w14:textId="100BD1B2"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25" w:history="1">
        <w:r w:rsidRPr="004178D6">
          <w:rPr>
            <w:rStyle w:val="Lienhypertexte"/>
            <w:rFonts w:ascii="Times New Roman" w:hAnsi="Times New Roman" w:cs="Times New Roman"/>
            <w:sz w:val="24"/>
            <w:szCs w:val="24"/>
          </w:rPr>
          <w:t>https://www.reuters.com/technology/tech-lobby-group-urges-eu-leaders-pause-ai-act-2025-06-25</w:t>
        </w:r>
      </w:hyperlink>
    </w:p>
    <w:p w14:paraId="70123069" w14:textId="0E864023"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26" w:history="1">
        <w:r w:rsidRPr="004178D6">
          <w:rPr>
            <w:rStyle w:val="Lienhypertexte"/>
            <w:rFonts w:ascii="Times New Roman" w:hAnsi="Times New Roman" w:cs="Times New Roman"/>
            <w:sz w:val="24"/>
            <w:szCs w:val="24"/>
          </w:rPr>
          <w:t>https://eur-lex.europa.eu/eli/reg/2016/679/oj/eng</w:t>
        </w:r>
      </w:hyperlink>
    </w:p>
    <w:p w14:paraId="618F1EE7" w14:textId="77777777"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27" w:history="1">
        <w:r w:rsidRPr="004178D6">
          <w:rPr>
            <w:rStyle w:val="Lienhypertexte"/>
            <w:rFonts w:ascii="Times New Roman" w:hAnsi="Times New Roman" w:cs="Times New Roman"/>
            <w:sz w:val="24"/>
            <w:szCs w:val="24"/>
          </w:rPr>
          <w:t>https://oag.ca.gov/privacy/ccpa</w:t>
        </w:r>
      </w:hyperlink>
    </w:p>
    <w:p w14:paraId="369C3A5E" w14:textId="77777777"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28" w:history="1">
        <w:r w:rsidRPr="004178D6">
          <w:rPr>
            <w:rStyle w:val="Lienhypertexte"/>
            <w:rFonts w:ascii="Times New Roman" w:eastAsia="Times New Roman" w:hAnsi="Times New Roman" w:cs="Times New Roman"/>
            <w:kern w:val="0"/>
            <w:sz w:val="24"/>
            <w:szCs w:val="24"/>
            <w:lang w:eastAsia="fr-FR"/>
            <w14:ligatures w14:val="none"/>
          </w:rPr>
          <w:t>https://greenit.eco/nos-etudes-et-essais/impacts-environnementaux-de-lia-dans-le-monde-en-2025</w:t>
        </w:r>
      </w:hyperlink>
    </w:p>
    <w:p w14:paraId="0408F156" w14:textId="55BAEA24" w:rsidR="008A784B" w:rsidRPr="004178D6" w:rsidRDefault="008A784B" w:rsidP="008A784B">
      <w:pPr>
        <w:pStyle w:val="Paragraphedeliste"/>
        <w:numPr>
          <w:ilvl w:val="0"/>
          <w:numId w:val="18"/>
        </w:numPr>
        <w:spacing w:before="100" w:beforeAutospacing="1" w:after="100" w:afterAutospacing="1" w:line="240" w:lineRule="auto"/>
        <w:rPr>
          <w:rFonts w:ascii="Times New Roman" w:hAnsi="Times New Roman" w:cs="Times New Roman"/>
          <w:sz w:val="24"/>
          <w:szCs w:val="24"/>
        </w:rPr>
      </w:pPr>
      <w:hyperlink r:id="rId29" w:history="1">
        <w:r w:rsidRPr="004178D6">
          <w:rPr>
            <w:rStyle w:val="Lienhypertexte"/>
            <w:rFonts w:ascii="Times New Roman" w:eastAsia="Times New Roman" w:hAnsi="Times New Roman" w:cs="Times New Roman"/>
            <w:kern w:val="0"/>
            <w:sz w:val="24"/>
            <w:szCs w:val="24"/>
            <w:lang w:eastAsia="fr-FR"/>
            <w14:ligatures w14:val="none"/>
          </w:rPr>
          <w:t>https://numeum.fr/numerique-responsable</w:t>
        </w:r>
      </w:hyperlink>
    </w:p>
    <w:p w14:paraId="71EE0D33" w14:textId="77777777" w:rsidR="008A784B" w:rsidRPr="004178D6" w:rsidRDefault="008A784B" w:rsidP="0070768C">
      <w:pPr>
        <w:pStyle w:val="Paragraphedeliste"/>
        <w:spacing w:before="100" w:beforeAutospacing="1" w:after="100" w:afterAutospacing="1" w:line="240" w:lineRule="auto"/>
        <w:rPr>
          <w:rFonts w:ascii="Times New Roman" w:hAnsi="Times New Roman" w:cs="Times New Roman"/>
          <w:sz w:val="24"/>
          <w:szCs w:val="24"/>
        </w:rPr>
      </w:pPr>
    </w:p>
    <w:p w14:paraId="64750F47" w14:textId="77777777" w:rsidR="00680BFC" w:rsidRPr="004178D6" w:rsidRDefault="00680BFC" w:rsidP="00680BFC">
      <w:pPr>
        <w:rPr>
          <w:rFonts w:ascii="Times New Roman" w:hAnsi="Times New Roman" w:cs="Times New Roman"/>
        </w:rPr>
      </w:pPr>
    </w:p>
    <w:p w14:paraId="68045473" w14:textId="65AB714D" w:rsidR="00680BFC" w:rsidRPr="004178D6" w:rsidRDefault="00680BFC" w:rsidP="00B259CA">
      <w:pPr>
        <w:rPr>
          <w:rFonts w:ascii="Times New Roman" w:hAnsi="Times New Roman" w:cs="Times New Roman"/>
          <w:sz w:val="24"/>
          <w:szCs w:val="24"/>
        </w:rPr>
      </w:pPr>
    </w:p>
    <w:sectPr w:rsidR="00680BFC" w:rsidRPr="004178D6">
      <w:headerReference w:type="default" r:id="rId30"/>
      <w:footerReference w:type="even" r:id="rId31"/>
      <w:footerReference w:type="default" r:id="rId32"/>
      <w:footerReference w:type="first" r:id="rId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33C31" w14:textId="77777777" w:rsidR="00F52830" w:rsidRDefault="00F52830" w:rsidP="008C065B">
      <w:pPr>
        <w:spacing w:after="0" w:line="240" w:lineRule="auto"/>
      </w:pPr>
      <w:r>
        <w:separator/>
      </w:r>
    </w:p>
  </w:endnote>
  <w:endnote w:type="continuationSeparator" w:id="0">
    <w:p w14:paraId="30DABF4E" w14:textId="77777777" w:rsidR="00F52830" w:rsidRDefault="00F52830" w:rsidP="008C0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9C6D" w14:textId="26583EC9" w:rsidR="008C065B" w:rsidRDefault="008C065B">
    <w:pPr>
      <w:pStyle w:val="Pieddepage"/>
    </w:pPr>
    <w:r>
      <w:rPr>
        <w:noProof/>
      </w:rPr>
      <mc:AlternateContent>
        <mc:Choice Requires="wps">
          <w:drawing>
            <wp:anchor distT="0" distB="0" distL="0" distR="0" simplePos="0" relativeHeight="251659264" behindDoc="0" locked="0" layoutInCell="1" allowOverlap="1" wp14:anchorId="226D5C3E" wp14:editId="0B52C925">
              <wp:simplePos x="635" y="635"/>
              <wp:positionH relativeFrom="page">
                <wp:align>center</wp:align>
              </wp:positionH>
              <wp:positionV relativeFrom="page">
                <wp:align>bottom</wp:align>
              </wp:positionV>
              <wp:extent cx="604520" cy="357505"/>
              <wp:effectExtent l="0" t="0" r="5080" b="0"/>
              <wp:wrapNone/>
              <wp:docPr id="1134775367"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6D5C3E" id="_x0000_t202" coordsize="21600,21600" o:spt="202" path="m,l,21600r21600,l21600,xe">
              <v:stroke joinstyle="miter"/>
              <v:path gradientshapeok="t" o:connecttype="rect"/>
            </v:shapetype>
            <v:shape id="Zone de texte 2" o:spid="_x0000_s1026" type="#_x0000_t202" alt="C2 - Interne" style="position:absolute;margin-left:0;margin-top:0;width:47.6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ogD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" filled="f" stroked="f">
              <v:textbox style="mso-fit-shape-to-text:t" inset="0,0,0,15pt">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E527" w14:textId="1E556C76" w:rsidR="008C065B" w:rsidRDefault="008C065B">
    <w:pPr>
      <w:pStyle w:val="Pieddepage"/>
    </w:pPr>
    <w:r>
      <w:rPr>
        <w:noProof/>
      </w:rPr>
      <mc:AlternateContent>
        <mc:Choice Requires="wps">
          <w:drawing>
            <wp:anchor distT="0" distB="0" distL="0" distR="0" simplePos="0" relativeHeight="251660288" behindDoc="0" locked="0" layoutInCell="1" allowOverlap="1" wp14:anchorId="4E2EA9E2" wp14:editId="342F4991">
              <wp:simplePos x="904875" y="10067925"/>
              <wp:positionH relativeFrom="page">
                <wp:align>center</wp:align>
              </wp:positionH>
              <wp:positionV relativeFrom="page">
                <wp:align>bottom</wp:align>
              </wp:positionV>
              <wp:extent cx="604520" cy="357505"/>
              <wp:effectExtent l="0" t="0" r="5080" b="0"/>
              <wp:wrapNone/>
              <wp:docPr id="1234741665"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2EA9E2" id="_x0000_t202" coordsize="21600,21600" o:spt="202" path="m,l,21600r21600,l21600,xe">
              <v:stroke joinstyle="miter"/>
              <v:path gradientshapeok="t" o:connecttype="rect"/>
            </v:shapetype>
            <v:shape id="Zone de texte 3" o:spid="_x0000_s1027" type="#_x0000_t202" alt="C2 - Interne" style="position:absolute;margin-left:0;margin-top:0;width:47.6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cW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" filled="f" stroked="f">
              <v:textbox style="mso-fit-shape-to-text:t" inset="0,0,0,15pt">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C018" w14:textId="0826082C" w:rsidR="008C065B" w:rsidRDefault="008C065B">
    <w:pPr>
      <w:pStyle w:val="Pieddepage"/>
    </w:pPr>
    <w:r>
      <w:rPr>
        <w:noProof/>
      </w:rPr>
      <mc:AlternateContent>
        <mc:Choice Requires="wps">
          <w:drawing>
            <wp:anchor distT="0" distB="0" distL="0" distR="0" simplePos="0" relativeHeight="251658240" behindDoc="0" locked="0" layoutInCell="1" allowOverlap="1" wp14:anchorId="361431AA" wp14:editId="67893E56">
              <wp:simplePos x="635" y="635"/>
              <wp:positionH relativeFrom="page">
                <wp:align>center</wp:align>
              </wp:positionH>
              <wp:positionV relativeFrom="page">
                <wp:align>bottom</wp:align>
              </wp:positionV>
              <wp:extent cx="604520" cy="357505"/>
              <wp:effectExtent l="0" t="0" r="5080" b="0"/>
              <wp:wrapNone/>
              <wp:docPr id="1365973130"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431AA" id="_x0000_t202" coordsize="21600,21600" o:spt="202" path="m,l,21600r21600,l21600,xe">
              <v:stroke joinstyle="miter"/>
              <v:path gradientshapeok="t" o:connecttype="rect"/>
            </v:shapetype>
            <v:shape id="Zone de texte 1" o:spid="_x0000_s1028" type="#_x0000_t202" alt="C2 - Interne" style="position:absolute;margin-left:0;margin-top:0;width:47.6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" filled="f" stroked="f">
              <v:textbox style="mso-fit-shape-to-text:t" inset="0,0,0,15pt">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39E3F" w14:textId="77777777" w:rsidR="00F52830" w:rsidRDefault="00F52830" w:rsidP="008C065B">
      <w:pPr>
        <w:spacing w:after="0" w:line="240" w:lineRule="auto"/>
      </w:pPr>
      <w:r>
        <w:separator/>
      </w:r>
    </w:p>
  </w:footnote>
  <w:footnote w:type="continuationSeparator" w:id="0">
    <w:p w14:paraId="7D35E4A8" w14:textId="77777777" w:rsidR="00F52830" w:rsidRDefault="00F52830" w:rsidP="008C0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F69A" w14:textId="60CBD2BF" w:rsidR="005771D9" w:rsidRPr="00EF7085" w:rsidRDefault="005771D9" w:rsidP="005771D9">
    <w:pPr>
      <w:pStyle w:val="En-tte"/>
      <w:jc w:val="center"/>
      <w:rPr>
        <w:rFonts w:ascii="Times New Roman" w:hAnsi="Times New Roman" w:cs="Times New Roman"/>
      </w:rPr>
    </w:pPr>
    <w:r w:rsidRPr="00EF708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28F2DCC" wp14:editId="4ED7166D">
              <wp:simplePos x="0" y="0"/>
              <wp:positionH relativeFrom="column">
                <wp:posOffset>-442595</wp:posOffset>
              </wp:positionH>
              <wp:positionV relativeFrom="paragraph">
                <wp:posOffset>245879</wp:posOffset>
              </wp:positionV>
              <wp:extent cx="6445876" cy="12879"/>
              <wp:effectExtent l="0" t="0" r="31750" b="2540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115EB3" id="Connecteur droit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" strokecolor="#156082 [3204]" strokeweight="1pt">
              <v:stroke joinstyle="miter"/>
            </v:line>
          </w:pict>
        </mc:Fallback>
      </mc:AlternateContent>
    </w:r>
    <w:r w:rsidR="00E6138E" w:rsidRPr="00E6138E">
      <w:rPr>
        <w:rFonts w:ascii="Times New Roman" w:hAnsi="Times New Roman" w:cs="Times New Roman"/>
      </w:rPr>
      <w:t>Amazon Review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232"/>
    <w:multiLevelType w:val="hybridMultilevel"/>
    <w:tmpl w:val="D6A641E6"/>
    <w:lvl w:ilvl="0" w:tplc="443058DE">
      <w:numFmt w:val="bullet"/>
      <w:lvlText w:val="-"/>
      <w:lvlJc w:val="left"/>
      <w:pPr>
        <w:ind w:left="408" w:hanging="360"/>
      </w:pPr>
      <w:rPr>
        <w:rFonts w:ascii="Aptos" w:eastAsiaTheme="minorHAnsi" w:hAnsi="Aptos" w:cstheme="minorBidi" w:hint="default"/>
      </w:rPr>
    </w:lvl>
    <w:lvl w:ilvl="1" w:tplc="040C0003" w:tentative="1">
      <w:start w:val="1"/>
      <w:numFmt w:val="bullet"/>
      <w:lvlText w:val="o"/>
      <w:lvlJc w:val="left"/>
      <w:pPr>
        <w:ind w:left="1128" w:hanging="360"/>
      </w:pPr>
      <w:rPr>
        <w:rFonts w:ascii="Courier New" w:hAnsi="Courier New" w:cs="Courier New" w:hint="default"/>
      </w:rPr>
    </w:lvl>
    <w:lvl w:ilvl="2" w:tplc="040C0005" w:tentative="1">
      <w:start w:val="1"/>
      <w:numFmt w:val="bullet"/>
      <w:lvlText w:val=""/>
      <w:lvlJc w:val="left"/>
      <w:pPr>
        <w:ind w:left="1848" w:hanging="360"/>
      </w:pPr>
      <w:rPr>
        <w:rFonts w:ascii="Wingdings" w:hAnsi="Wingdings" w:hint="default"/>
      </w:rPr>
    </w:lvl>
    <w:lvl w:ilvl="3" w:tplc="040C0001" w:tentative="1">
      <w:start w:val="1"/>
      <w:numFmt w:val="bullet"/>
      <w:lvlText w:val=""/>
      <w:lvlJc w:val="left"/>
      <w:pPr>
        <w:ind w:left="2568" w:hanging="360"/>
      </w:pPr>
      <w:rPr>
        <w:rFonts w:ascii="Symbol" w:hAnsi="Symbol" w:hint="default"/>
      </w:rPr>
    </w:lvl>
    <w:lvl w:ilvl="4" w:tplc="040C0003" w:tentative="1">
      <w:start w:val="1"/>
      <w:numFmt w:val="bullet"/>
      <w:lvlText w:val="o"/>
      <w:lvlJc w:val="left"/>
      <w:pPr>
        <w:ind w:left="3288" w:hanging="360"/>
      </w:pPr>
      <w:rPr>
        <w:rFonts w:ascii="Courier New" w:hAnsi="Courier New" w:cs="Courier New" w:hint="default"/>
      </w:rPr>
    </w:lvl>
    <w:lvl w:ilvl="5" w:tplc="040C0005" w:tentative="1">
      <w:start w:val="1"/>
      <w:numFmt w:val="bullet"/>
      <w:lvlText w:val=""/>
      <w:lvlJc w:val="left"/>
      <w:pPr>
        <w:ind w:left="4008" w:hanging="360"/>
      </w:pPr>
      <w:rPr>
        <w:rFonts w:ascii="Wingdings" w:hAnsi="Wingdings" w:hint="default"/>
      </w:rPr>
    </w:lvl>
    <w:lvl w:ilvl="6" w:tplc="040C0001" w:tentative="1">
      <w:start w:val="1"/>
      <w:numFmt w:val="bullet"/>
      <w:lvlText w:val=""/>
      <w:lvlJc w:val="left"/>
      <w:pPr>
        <w:ind w:left="4728" w:hanging="360"/>
      </w:pPr>
      <w:rPr>
        <w:rFonts w:ascii="Symbol" w:hAnsi="Symbol" w:hint="default"/>
      </w:rPr>
    </w:lvl>
    <w:lvl w:ilvl="7" w:tplc="040C0003" w:tentative="1">
      <w:start w:val="1"/>
      <w:numFmt w:val="bullet"/>
      <w:lvlText w:val="o"/>
      <w:lvlJc w:val="left"/>
      <w:pPr>
        <w:ind w:left="5448" w:hanging="360"/>
      </w:pPr>
      <w:rPr>
        <w:rFonts w:ascii="Courier New" w:hAnsi="Courier New" w:cs="Courier New" w:hint="default"/>
      </w:rPr>
    </w:lvl>
    <w:lvl w:ilvl="8" w:tplc="040C0005" w:tentative="1">
      <w:start w:val="1"/>
      <w:numFmt w:val="bullet"/>
      <w:lvlText w:val=""/>
      <w:lvlJc w:val="left"/>
      <w:pPr>
        <w:ind w:left="6168" w:hanging="360"/>
      </w:pPr>
      <w:rPr>
        <w:rFonts w:ascii="Wingdings" w:hAnsi="Wingdings" w:hint="default"/>
      </w:rPr>
    </w:lvl>
  </w:abstractNum>
  <w:abstractNum w:abstractNumId="1" w15:restartNumberingAfterBreak="0">
    <w:nsid w:val="084F743E"/>
    <w:multiLevelType w:val="multilevel"/>
    <w:tmpl w:val="27B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C543A"/>
    <w:multiLevelType w:val="multilevel"/>
    <w:tmpl w:val="0A4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D0B66"/>
    <w:multiLevelType w:val="hybridMultilevel"/>
    <w:tmpl w:val="295AC3CA"/>
    <w:lvl w:ilvl="0" w:tplc="A426C8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DB7D56"/>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5A34E47"/>
    <w:multiLevelType w:val="hybridMultilevel"/>
    <w:tmpl w:val="082037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4B7159"/>
    <w:multiLevelType w:val="multilevel"/>
    <w:tmpl w:val="495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E5162"/>
    <w:multiLevelType w:val="multilevel"/>
    <w:tmpl w:val="27B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317DC"/>
    <w:multiLevelType w:val="multilevel"/>
    <w:tmpl w:val="27BEE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9395B"/>
    <w:multiLevelType w:val="multilevel"/>
    <w:tmpl w:val="1AB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A2D5580"/>
    <w:multiLevelType w:val="multilevel"/>
    <w:tmpl w:val="27B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F59A1"/>
    <w:multiLevelType w:val="hybridMultilevel"/>
    <w:tmpl w:val="7B108E3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5DF0CDE"/>
    <w:multiLevelType w:val="hybridMultilevel"/>
    <w:tmpl w:val="8918C3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654275C"/>
    <w:multiLevelType w:val="multilevel"/>
    <w:tmpl w:val="5BBA6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980D10"/>
    <w:multiLevelType w:val="hybridMultilevel"/>
    <w:tmpl w:val="DB20FBB0"/>
    <w:lvl w:ilvl="0" w:tplc="CEECADB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5B3469D"/>
    <w:multiLevelType w:val="hybridMultilevel"/>
    <w:tmpl w:val="59DEF8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7057B60"/>
    <w:multiLevelType w:val="multilevel"/>
    <w:tmpl w:val="AAD8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AE2037"/>
    <w:multiLevelType w:val="multilevel"/>
    <w:tmpl w:val="27B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561071">
    <w:abstractNumId w:val="10"/>
  </w:num>
  <w:num w:numId="2" w16cid:durableId="529954506">
    <w:abstractNumId w:val="15"/>
  </w:num>
  <w:num w:numId="3" w16cid:durableId="1076171371">
    <w:abstractNumId w:val="4"/>
  </w:num>
  <w:num w:numId="4" w16cid:durableId="1010988025">
    <w:abstractNumId w:val="2"/>
  </w:num>
  <w:num w:numId="5" w16cid:durableId="2140953283">
    <w:abstractNumId w:val="13"/>
  </w:num>
  <w:num w:numId="6" w16cid:durableId="130489712">
    <w:abstractNumId w:val="6"/>
  </w:num>
  <w:num w:numId="7" w16cid:durableId="1498956157">
    <w:abstractNumId w:val="3"/>
  </w:num>
  <w:num w:numId="8" w16cid:durableId="1009336344">
    <w:abstractNumId w:val="9"/>
  </w:num>
  <w:num w:numId="9" w16cid:durableId="230772844">
    <w:abstractNumId w:val="5"/>
  </w:num>
  <w:num w:numId="10" w16cid:durableId="2098402158">
    <w:abstractNumId w:val="17"/>
  </w:num>
  <w:num w:numId="11" w16cid:durableId="1165823064">
    <w:abstractNumId w:val="12"/>
  </w:num>
  <w:num w:numId="12" w16cid:durableId="1808668286">
    <w:abstractNumId w:val="0"/>
  </w:num>
  <w:num w:numId="13" w16cid:durableId="1980915874">
    <w:abstractNumId w:val="18"/>
  </w:num>
  <w:num w:numId="14" w16cid:durableId="3826308">
    <w:abstractNumId w:val="7"/>
  </w:num>
  <w:num w:numId="15" w16cid:durableId="1469781565">
    <w:abstractNumId w:val="14"/>
  </w:num>
  <w:num w:numId="16" w16cid:durableId="1999262673">
    <w:abstractNumId w:val="11"/>
  </w:num>
  <w:num w:numId="17" w16cid:durableId="457794768">
    <w:abstractNumId w:val="8"/>
  </w:num>
  <w:num w:numId="18" w16cid:durableId="1990403651">
    <w:abstractNumId w:val="1"/>
  </w:num>
  <w:num w:numId="19" w16cid:durableId="20039211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E78"/>
    <w:rsid w:val="00020BA7"/>
    <w:rsid w:val="000232E5"/>
    <w:rsid w:val="00071089"/>
    <w:rsid w:val="000A0A15"/>
    <w:rsid w:val="000F4DC0"/>
    <w:rsid w:val="00117FCC"/>
    <w:rsid w:val="00136654"/>
    <w:rsid w:val="00144D3C"/>
    <w:rsid w:val="00152A5E"/>
    <w:rsid w:val="00162178"/>
    <w:rsid w:val="00192238"/>
    <w:rsid w:val="0019359B"/>
    <w:rsid w:val="001A66DB"/>
    <w:rsid w:val="001E4488"/>
    <w:rsid w:val="002172B5"/>
    <w:rsid w:val="00225266"/>
    <w:rsid w:val="00226D17"/>
    <w:rsid w:val="00243A77"/>
    <w:rsid w:val="00244B56"/>
    <w:rsid w:val="00245BBE"/>
    <w:rsid w:val="00246B82"/>
    <w:rsid w:val="0026364A"/>
    <w:rsid w:val="00274968"/>
    <w:rsid w:val="00280189"/>
    <w:rsid w:val="00291B3F"/>
    <w:rsid w:val="002A7AA9"/>
    <w:rsid w:val="002C2D19"/>
    <w:rsid w:val="002D4FEB"/>
    <w:rsid w:val="002E6CC8"/>
    <w:rsid w:val="002F174F"/>
    <w:rsid w:val="0030069D"/>
    <w:rsid w:val="00303BC0"/>
    <w:rsid w:val="003225CA"/>
    <w:rsid w:val="00341AA0"/>
    <w:rsid w:val="00385EF8"/>
    <w:rsid w:val="003B2171"/>
    <w:rsid w:val="003B54DC"/>
    <w:rsid w:val="003D7314"/>
    <w:rsid w:val="004138CD"/>
    <w:rsid w:val="00416FDA"/>
    <w:rsid w:val="004178D6"/>
    <w:rsid w:val="00424A1A"/>
    <w:rsid w:val="0048737A"/>
    <w:rsid w:val="004A748D"/>
    <w:rsid w:val="004C74E1"/>
    <w:rsid w:val="004C7703"/>
    <w:rsid w:val="004D3752"/>
    <w:rsid w:val="004D42D7"/>
    <w:rsid w:val="004F0171"/>
    <w:rsid w:val="004F4670"/>
    <w:rsid w:val="0050755E"/>
    <w:rsid w:val="0051002C"/>
    <w:rsid w:val="00532072"/>
    <w:rsid w:val="005424D3"/>
    <w:rsid w:val="00544AFD"/>
    <w:rsid w:val="0054560C"/>
    <w:rsid w:val="00552AF5"/>
    <w:rsid w:val="005771D9"/>
    <w:rsid w:val="00594870"/>
    <w:rsid w:val="005979CF"/>
    <w:rsid w:val="005A7D98"/>
    <w:rsid w:val="00602534"/>
    <w:rsid w:val="00615E78"/>
    <w:rsid w:val="0062041C"/>
    <w:rsid w:val="006427BA"/>
    <w:rsid w:val="00646657"/>
    <w:rsid w:val="00665D2C"/>
    <w:rsid w:val="00680BFC"/>
    <w:rsid w:val="006949BB"/>
    <w:rsid w:val="006C22EB"/>
    <w:rsid w:val="006C45D0"/>
    <w:rsid w:val="0070133E"/>
    <w:rsid w:val="0070768C"/>
    <w:rsid w:val="007139AD"/>
    <w:rsid w:val="007350FC"/>
    <w:rsid w:val="007679A9"/>
    <w:rsid w:val="00790C57"/>
    <w:rsid w:val="007A00EC"/>
    <w:rsid w:val="007B7101"/>
    <w:rsid w:val="00802037"/>
    <w:rsid w:val="00813750"/>
    <w:rsid w:val="00835C01"/>
    <w:rsid w:val="00847855"/>
    <w:rsid w:val="00870396"/>
    <w:rsid w:val="008A784B"/>
    <w:rsid w:val="008B61E4"/>
    <w:rsid w:val="008C065B"/>
    <w:rsid w:val="008C3A12"/>
    <w:rsid w:val="008D1053"/>
    <w:rsid w:val="008F7FF4"/>
    <w:rsid w:val="009148E2"/>
    <w:rsid w:val="00922D8F"/>
    <w:rsid w:val="00951D9E"/>
    <w:rsid w:val="009B3952"/>
    <w:rsid w:val="009B6F6E"/>
    <w:rsid w:val="009C0254"/>
    <w:rsid w:val="009C715D"/>
    <w:rsid w:val="009D1F2A"/>
    <w:rsid w:val="00A06970"/>
    <w:rsid w:val="00A1086B"/>
    <w:rsid w:val="00A148EA"/>
    <w:rsid w:val="00A40A78"/>
    <w:rsid w:val="00A61B08"/>
    <w:rsid w:val="00A861E9"/>
    <w:rsid w:val="00A86712"/>
    <w:rsid w:val="00A910FA"/>
    <w:rsid w:val="00AA13F1"/>
    <w:rsid w:val="00AB2483"/>
    <w:rsid w:val="00AC4C13"/>
    <w:rsid w:val="00AC6183"/>
    <w:rsid w:val="00B0672F"/>
    <w:rsid w:val="00B2269F"/>
    <w:rsid w:val="00B259CA"/>
    <w:rsid w:val="00B33333"/>
    <w:rsid w:val="00B35C1B"/>
    <w:rsid w:val="00B56009"/>
    <w:rsid w:val="00B718C3"/>
    <w:rsid w:val="00B7311B"/>
    <w:rsid w:val="00BE0252"/>
    <w:rsid w:val="00BE75A0"/>
    <w:rsid w:val="00BF23E7"/>
    <w:rsid w:val="00C11A70"/>
    <w:rsid w:val="00C1418E"/>
    <w:rsid w:val="00C14B55"/>
    <w:rsid w:val="00C43463"/>
    <w:rsid w:val="00C56562"/>
    <w:rsid w:val="00C76AC4"/>
    <w:rsid w:val="00C84C83"/>
    <w:rsid w:val="00C91E52"/>
    <w:rsid w:val="00C93F6E"/>
    <w:rsid w:val="00CF60C4"/>
    <w:rsid w:val="00D1001D"/>
    <w:rsid w:val="00D311DF"/>
    <w:rsid w:val="00D434B8"/>
    <w:rsid w:val="00D45D3B"/>
    <w:rsid w:val="00D55DF8"/>
    <w:rsid w:val="00D67860"/>
    <w:rsid w:val="00DE3A08"/>
    <w:rsid w:val="00DE4CB1"/>
    <w:rsid w:val="00DF03BD"/>
    <w:rsid w:val="00DF3C9D"/>
    <w:rsid w:val="00E005EA"/>
    <w:rsid w:val="00E30741"/>
    <w:rsid w:val="00E34951"/>
    <w:rsid w:val="00E516A3"/>
    <w:rsid w:val="00E6138E"/>
    <w:rsid w:val="00E85618"/>
    <w:rsid w:val="00EA1411"/>
    <w:rsid w:val="00EB2691"/>
    <w:rsid w:val="00EB618A"/>
    <w:rsid w:val="00EC1209"/>
    <w:rsid w:val="00EC79AC"/>
    <w:rsid w:val="00ED1CD3"/>
    <w:rsid w:val="00ED7829"/>
    <w:rsid w:val="00EF7085"/>
    <w:rsid w:val="00F355B4"/>
    <w:rsid w:val="00F52830"/>
    <w:rsid w:val="00F72FAC"/>
    <w:rsid w:val="00F86C85"/>
    <w:rsid w:val="00F905F6"/>
    <w:rsid w:val="00FA5804"/>
    <w:rsid w:val="00FF09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7EC4F"/>
  <w15:chartTrackingRefBased/>
  <w15:docId w15:val="{6A476FBB-9267-430B-A849-DD42E058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829"/>
  </w:style>
  <w:style w:type="paragraph" w:styleId="Titre1">
    <w:name w:val="heading 1"/>
    <w:basedOn w:val="Normal"/>
    <w:next w:val="Normal"/>
    <w:link w:val="Titre1Car"/>
    <w:uiPriority w:val="9"/>
    <w:qFormat/>
    <w:rsid w:val="00615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15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15E7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5E7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5E7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5E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5E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5E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5E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5E7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15E7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15E7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15E7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15E7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15E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5E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5E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5E78"/>
    <w:rPr>
      <w:rFonts w:eastAsiaTheme="majorEastAsia" w:cstheme="majorBidi"/>
      <w:color w:val="272727" w:themeColor="text1" w:themeTint="D8"/>
    </w:rPr>
  </w:style>
  <w:style w:type="paragraph" w:styleId="Titre">
    <w:name w:val="Title"/>
    <w:basedOn w:val="Normal"/>
    <w:next w:val="Normal"/>
    <w:link w:val="TitreCar"/>
    <w:uiPriority w:val="10"/>
    <w:qFormat/>
    <w:rsid w:val="00615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5E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5E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5E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5E78"/>
    <w:pPr>
      <w:spacing w:before="160"/>
      <w:jc w:val="center"/>
    </w:pPr>
    <w:rPr>
      <w:i/>
      <w:iCs/>
      <w:color w:val="404040" w:themeColor="text1" w:themeTint="BF"/>
    </w:rPr>
  </w:style>
  <w:style w:type="character" w:customStyle="1" w:styleId="CitationCar">
    <w:name w:val="Citation Car"/>
    <w:basedOn w:val="Policepardfaut"/>
    <w:link w:val="Citation"/>
    <w:uiPriority w:val="29"/>
    <w:rsid w:val="00615E78"/>
    <w:rPr>
      <w:i/>
      <w:iCs/>
      <w:color w:val="404040" w:themeColor="text1" w:themeTint="BF"/>
    </w:rPr>
  </w:style>
  <w:style w:type="paragraph" w:styleId="Paragraphedeliste">
    <w:name w:val="List Paragraph"/>
    <w:basedOn w:val="Normal"/>
    <w:uiPriority w:val="34"/>
    <w:qFormat/>
    <w:rsid w:val="00615E78"/>
    <w:pPr>
      <w:ind w:left="720"/>
      <w:contextualSpacing/>
    </w:pPr>
  </w:style>
  <w:style w:type="character" w:styleId="Accentuationintense">
    <w:name w:val="Intense Emphasis"/>
    <w:basedOn w:val="Policepardfaut"/>
    <w:uiPriority w:val="21"/>
    <w:qFormat/>
    <w:rsid w:val="00615E78"/>
    <w:rPr>
      <w:i/>
      <w:iCs/>
      <w:color w:val="0F4761" w:themeColor="accent1" w:themeShade="BF"/>
    </w:rPr>
  </w:style>
  <w:style w:type="paragraph" w:styleId="Citationintense">
    <w:name w:val="Intense Quote"/>
    <w:basedOn w:val="Normal"/>
    <w:next w:val="Normal"/>
    <w:link w:val="CitationintenseCar"/>
    <w:uiPriority w:val="30"/>
    <w:qFormat/>
    <w:rsid w:val="00615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5E78"/>
    <w:rPr>
      <w:i/>
      <w:iCs/>
      <w:color w:val="0F4761" w:themeColor="accent1" w:themeShade="BF"/>
    </w:rPr>
  </w:style>
  <w:style w:type="character" w:styleId="Rfrenceintense">
    <w:name w:val="Intense Reference"/>
    <w:basedOn w:val="Policepardfaut"/>
    <w:uiPriority w:val="32"/>
    <w:qFormat/>
    <w:rsid w:val="00615E78"/>
    <w:rPr>
      <w:b/>
      <w:bCs/>
      <w:smallCaps/>
      <w:color w:val="0F4761" w:themeColor="accent1" w:themeShade="BF"/>
      <w:spacing w:val="5"/>
    </w:rPr>
  </w:style>
  <w:style w:type="paragraph" w:styleId="Pieddepage">
    <w:name w:val="footer"/>
    <w:basedOn w:val="Normal"/>
    <w:link w:val="PieddepageCar"/>
    <w:uiPriority w:val="99"/>
    <w:unhideWhenUsed/>
    <w:rsid w:val="008C06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065B"/>
  </w:style>
  <w:style w:type="paragraph" w:styleId="En-tte">
    <w:name w:val="header"/>
    <w:basedOn w:val="Normal"/>
    <w:link w:val="En-tteCar"/>
    <w:uiPriority w:val="99"/>
    <w:unhideWhenUsed/>
    <w:rsid w:val="005771D9"/>
    <w:pPr>
      <w:tabs>
        <w:tab w:val="center" w:pos="4536"/>
        <w:tab w:val="right" w:pos="9072"/>
      </w:tabs>
      <w:spacing w:after="0" w:line="240" w:lineRule="auto"/>
    </w:pPr>
  </w:style>
  <w:style w:type="character" w:customStyle="1" w:styleId="En-tteCar">
    <w:name w:val="En-tête Car"/>
    <w:basedOn w:val="Policepardfaut"/>
    <w:link w:val="En-tte"/>
    <w:uiPriority w:val="99"/>
    <w:rsid w:val="005771D9"/>
  </w:style>
  <w:style w:type="paragraph" w:styleId="En-ttedetabledesmatires">
    <w:name w:val="TOC Heading"/>
    <w:basedOn w:val="Titre1"/>
    <w:next w:val="Normal"/>
    <w:uiPriority w:val="39"/>
    <w:unhideWhenUsed/>
    <w:qFormat/>
    <w:rsid w:val="00EF7085"/>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EF7085"/>
    <w:pPr>
      <w:spacing w:after="100"/>
    </w:pPr>
  </w:style>
  <w:style w:type="paragraph" w:styleId="TM2">
    <w:name w:val="toc 2"/>
    <w:basedOn w:val="Normal"/>
    <w:next w:val="Normal"/>
    <w:autoRedefine/>
    <w:uiPriority w:val="39"/>
    <w:unhideWhenUsed/>
    <w:rsid w:val="00EF7085"/>
    <w:pPr>
      <w:spacing w:after="100"/>
      <w:ind w:left="220"/>
    </w:pPr>
  </w:style>
  <w:style w:type="paragraph" w:styleId="TM3">
    <w:name w:val="toc 3"/>
    <w:basedOn w:val="Normal"/>
    <w:next w:val="Normal"/>
    <w:autoRedefine/>
    <w:uiPriority w:val="39"/>
    <w:unhideWhenUsed/>
    <w:rsid w:val="00EF7085"/>
    <w:pPr>
      <w:spacing w:after="100"/>
      <w:ind w:left="440"/>
    </w:pPr>
  </w:style>
  <w:style w:type="character" w:styleId="Lienhypertexte">
    <w:name w:val="Hyperlink"/>
    <w:basedOn w:val="Policepardfaut"/>
    <w:uiPriority w:val="99"/>
    <w:unhideWhenUsed/>
    <w:rsid w:val="00EF7085"/>
    <w:rPr>
      <w:color w:val="467886" w:themeColor="hyperlink"/>
      <w:u w:val="single"/>
    </w:rPr>
  </w:style>
  <w:style w:type="paragraph" w:styleId="NormalWeb">
    <w:name w:val="Normal (Web)"/>
    <w:basedOn w:val="Normal"/>
    <w:uiPriority w:val="99"/>
    <w:unhideWhenUsed/>
    <w:rsid w:val="004C74E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C74E1"/>
    <w:rPr>
      <w:b/>
      <w:bCs/>
    </w:rPr>
  </w:style>
  <w:style w:type="table" w:styleId="Grilledutableau">
    <w:name w:val="Table Grid"/>
    <w:basedOn w:val="TableauNormal"/>
    <w:uiPriority w:val="39"/>
    <w:rsid w:val="00FF0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4873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nil.fr/fr/reglement-europeen-protection-donnees" TargetMode="External"/><Relationship Id="rId18" Type="http://schemas.openxmlformats.org/officeDocument/2006/relationships/hyperlink" Target="https://www.snowflake.com/en/blog/announcements-snowflake-summit-2025/" TargetMode="External"/><Relationship Id="rId26" Type="http://schemas.openxmlformats.org/officeDocument/2006/relationships/hyperlink" Target="https://eur-lex.europa.eu/eli/reg/2016/679/oj/eng" TargetMode="External"/><Relationship Id="rId3" Type="http://schemas.openxmlformats.org/officeDocument/2006/relationships/settings" Target="settings.xml"/><Relationship Id="rId21" Type="http://schemas.openxmlformats.org/officeDocument/2006/relationships/hyperlink" Target="https://kafka.apache.org/downloads"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accessibilite.numerique.gouv.fr/" TargetMode="External"/><Relationship Id="rId17" Type="http://schemas.openxmlformats.org/officeDocument/2006/relationships/hyperlink" Target="https://aws.amazon.com/blogs/aws/aws-weekly-roundup-amazon-s3-amazon-ec2-and-more-november-10-2025" TargetMode="External"/><Relationship Id="rId25" Type="http://schemas.openxmlformats.org/officeDocument/2006/relationships/hyperlink" Target="https://www.reuters.com/technology/tech-lobby-group-urges-eu-leaders-pause-ai-act-2025-06-25"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oag.ca.gov/privacy/ccpa" TargetMode="External"/><Relationship Id="rId20" Type="http://schemas.openxmlformats.org/officeDocument/2006/relationships/hyperlink" Target="https://spark.apache.org/news" TargetMode="External"/><Relationship Id="rId29" Type="http://schemas.openxmlformats.org/officeDocument/2006/relationships/hyperlink" Target="https://numeum.fr/numerique-responsab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ldr.tech/" TargetMode="External"/><Relationship Id="rId24" Type="http://schemas.openxmlformats.org/officeDocument/2006/relationships/hyperlink" Target="https://milvus.io/docs/v2.4.x/overview.md"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economie.gouv.fr/entreprises/responsabilite-societale-entreprises-rse" TargetMode="External"/><Relationship Id="rId23" Type="http://schemas.openxmlformats.org/officeDocument/2006/relationships/hyperlink" Target="https://aws.amazon.com/about-aws/whats-new/2024/12/next-generation-amazon-sagemaker" TargetMode="External"/><Relationship Id="rId28" Type="http://schemas.openxmlformats.org/officeDocument/2006/relationships/hyperlink" Target="https://greenit.eco/nos-etudes-et-essais/impacts-environnementaux-de-lia-dans-le-monde-en-2025" TargetMode="External"/><Relationship Id="rId10" Type="http://schemas.openxmlformats.org/officeDocument/2006/relationships/hyperlink" Target="https://libguides.library.cityu.edu.hk/litreview/evaluating-sources" TargetMode="External"/><Relationship Id="rId19" Type="http://schemas.openxmlformats.org/officeDocument/2006/relationships/hyperlink" Target="https://docs.getdbt.com/docs/dbt-versions/dbt-cloud-release-notes"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yoandev.notion.site/Template-Organiser-sa-veille-YoanDev-c5dc054dc8fb440285f235f3bc7f4fad" TargetMode="External"/><Relationship Id="rId14" Type="http://schemas.openxmlformats.org/officeDocument/2006/relationships/hyperlink" Target="https://www.insee.fr/fr/statistiques/1281346" TargetMode="External"/><Relationship Id="rId22" Type="http://schemas.openxmlformats.org/officeDocument/2006/relationships/hyperlink" Target="https://www.databricks.com/blog/whats-new-databricks-unity-catalog-data-ai-summit-2025" TargetMode="External"/><Relationship Id="rId27" Type="http://schemas.openxmlformats.org/officeDocument/2006/relationships/hyperlink" Target="https://oag.ca.gov/privacy/ccpa"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hyperlink" Target="https://greenit.eco/nos-etudes-et-essais/impacts-environnementaux-de-lia-dans-le-monde-en-2025"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3435</Words>
  <Characters>18897</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TOUAHRI</dc:creator>
  <cp:keywords/>
  <dc:description/>
  <cp:lastModifiedBy>NAIT SAIDI Amara</cp:lastModifiedBy>
  <cp:revision>102</cp:revision>
  <cp:lastPrinted>2025-12-11T11:38:00Z</cp:lastPrinted>
  <dcterms:created xsi:type="dcterms:W3CDTF">2025-10-14T08:55:00Z</dcterms:created>
  <dcterms:modified xsi:type="dcterms:W3CDTF">2025-12-11T11:39:00Z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516b188a,43a34c47,4998a9a1</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2025-10-14T09:12:10Z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76422f1d-8d6b-4944-bd17-0edcda7f5f0f</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