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Exploratory Data Analysis for Default Risk Assessment</w:t>
      </w:r>
    </w:p>
    <w:p>
      <w:pPr>
        <w:pStyle w:val="style0"/>
        <w:rPr>
          <w:b/>
          <w:bCs/>
        </w:rPr>
      </w:pPr>
      <w:r>
        <w:rPr>
          <w:b/>
          <w:bCs/>
          <w:lang w:val="en-US"/>
        </w:rPr>
        <w:t>Introduction and Business Problem</w:t>
      </w:r>
    </w:p>
    <w:p>
      <w:pPr>
        <w:pStyle w:val="style0"/>
        <w:rPr/>
      </w:pPr>
      <w:r>
        <w:rPr>
          <w:lang w:val="en-US"/>
        </w:rPr>
        <w:t xml:space="preserve">Default risk assessment is an important function for financial institutions, as poor loaning decisions can result in high default rates and financial losses. in the same breath, overly cautious decision making criferia may result in the loss of worthy customers and reduce potential revenue. Therefore the problem being answered in this project is the identification of factors related to loan default risk using historical applicant data. The objective is to understand how these factors may influence chance of defaulting. Examples of said factors included demographic, financial, and employment-related variables, how they influence the likelihood of default, coupled with a binary odds of default or risk. </w:t>
      </w:r>
    </w:p>
    <w:p>
      <w:pPr>
        <w:pStyle w:val="style0"/>
        <w:rPr/>
      </w:pPr>
      <w:r>
        <w:rPr>
          <w:lang w:val="en-US"/>
        </w:rPr>
        <w:t>Patterns in the data, data quality assessment, and insights that inform both business understanding and predictive modeling were done through diagrams using python tools (EDA). This report summarizes the EDA process, key insights derived, and the research questions answered following the analysis.</w:t>
      </w:r>
    </w:p>
    <w:p>
      <w:pPr>
        <w:pStyle w:val="style0"/>
        <w:rPr>
          <w:b/>
          <w:bCs/>
        </w:rPr>
      </w:pPr>
      <w:r>
        <w:rPr>
          <w:b/>
          <w:bCs/>
          <w:lang w:val="en-US"/>
        </w:rPr>
        <w:t>Dataset Overview</w:t>
      </w:r>
    </w:p>
    <w:p>
      <w:pPr>
        <w:pStyle w:val="style0"/>
        <w:rPr/>
      </w:pPr>
      <w:r>
        <w:rPr>
          <w:lang w:val="en-US"/>
        </w:rPr>
        <w:t>Using .info() the dataset was studied to contain 252,000 observations, each representing a loan applicant expressed in rows. Columns include numerical data such as income, age, work experience, years in the current job, and years at the current residence, as well as categorical data such as marital status, home ownership, car ownership, and state of residence.  All named prior were features, the remaining column, the target variable, Risk_Flag, shows whether an applicant defaulted on a loan.</w:t>
      </w:r>
    </w:p>
    <w:p>
      <w:pPr>
        <w:pStyle w:val="style0"/>
        <w:rPr/>
      </w:pPr>
      <w:r>
        <w:rPr>
          <w:lang w:val="en-US"/>
        </w:rPr>
        <w:t>Review showed that the dataset was complete, no missing values. However, some of the findings after visualization still called for cleaning. With regards to high cardinality columns and highly granular values, to ensure clear and usefulness in the analytical steps to come (EDA and modeling).</w:t>
      </w:r>
    </w:p>
    <w:p>
      <w:pPr>
        <w:pStyle w:val="style0"/>
        <w:rPr>
          <w:b/>
          <w:bCs/>
        </w:rPr>
      </w:pPr>
      <w:r>
        <w:rPr>
          <w:b/>
          <w:bCs/>
          <w:lang w:val="en-US"/>
        </w:rPr>
        <w:t xml:space="preserve">Exploratory Data Analysis Process (EDA) </w:t>
      </w:r>
    </w:p>
    <w:p>
      <w:pPr>
        <w:pStyle w:val="style0"/>
        <w:rPr/>
      </w:pPr>
      <w:r>
        <w:rPr>
          <w:lang w:val="en-US"/>
        </w:rPr>
        <w:t>EDA began with data cleaning. With the data having many related columns, logical consistencies were checked for to ensure realistic patterns. But analysis showed no violations therefore no cleaning was done regarding this</w:t>
      </w:r>
    </w:p>
    <w:p>
      <w:pPr>
        <w:pStyle w:val="style0"/>
        <w:rPr/>
      </w:pPr>
      <w:r>
        <w:rPr>
          <w:lang w:val="en-US"/>
        </w:rPr>
        <w:t xml:space="preserve">But then categorical variables were examined for frequency and cardinality. Certain features, such as city and profession, contained a large number of unique categories with very few observations each. These high-cardinality variables were removed from the dataset to reduce noise and dimensionality, and lower-cardinality categorical variables were retained for interpretation and modeling. But soon after were encoded use one hot encoding on low cardinality columns. This is more suitable for the model of choice because any other encoding would interpret to avoid assumption of ordinal relationship and preservation. </w:t>
      </w:r>
    </w:p>
    <w:p>
      <w:pPr>
        <w:pStyle w:val="style0"/>
        <w:rPr/>
      </w:pPr>
      <w:r>
        <w:rPr>
          <w:lang w:val="en-US"/>
        </w:rPr>
        <w:t xml:space="preserve">Continuous variables were analyzed to understand their distributions and relationships with default risk. Income displayed a wide range of values, making interpretation difficult in raw form. To address this, income was examined using grouped ranges based on quartiles, allowing clearer comparison especially during plotting. To also save computing power, when necessary, samples were used instead. of the entire data set. Numerical data was in the form of float32 instead of float64 to improve speed and leave memory. </w:t>
      </w:r>
    </w:p>
    <w:p>
      <w:pPr>
        <w:pStyle w:val="style0"/>
        <w:rPr/>
      </w:pPr>
      <w:r>
        <w:rPr>
          <w:lang w:val="en-US"/>
        </w:rPr>
        <w:t>Finally, during the last steps in preparation for modeling, numerical variables were standardized to ensure each column considered for the final modeling had a fair hand in predictions despite the differences, and categorical variables were prepared for encoding, already aforementioned.</w:t>
      </w:r>
    </w:p>
    <w:p>
      <w:pPr>
        <w:pStyle w:val="style0"/>
        <w:rPr>
          <w:b/>
          <w:bCs/>
        </w:rPr>
      </w:pPr>
      <w:r>
        <w:rPr>
          <w:b/>
          <w:bCs/>
          <w:lang w:val="en-US"/>
        </w:rPr>
        <w:t>Key Insights from EDA</w:t>
      </w:r>
    </w:p>
    <w:p>
      <w:pPr>
        <w:pStyle w:val="style0"/>
        <w:rPr/>
      </w:pPr>
      <w:r>
        <w:rPr>
          <w:lang w:val="en-US"/>
        </w:rPr>
        <w:t>One of the most important findings was the imbalance in the target variable. Approximately 88% of applicants did not default, while about 12% did. This imbalance highlights the need for careful evaluation strategies and suggests that default risk is concentrated within a smaller segment of the population.</w:t>
      </w:r>
    </w:p>
    <w:p>
      <w:pPr>
        <w:pStyle w:val="style0"/>
        <w:rPr/>
      </w:pPr>
      <w:r>
        <w:rPr>
          <w:lang w:val="en-US"/>
        </w:rPr>
        <w:t>Income emerged as a key factor associated with default risk. Applicants in lower income ranges showed a noticeably higher likelihood of default, while higher-income applicants exhibited lower default rates. This inverse relationship suggests that income is a strong indicator of repayment capacity.</w:t>
      </w:r>
    </w:p>
    <w:p>
      <w:pPr>
        <w:pStyle w:val="style0"/>
        <w:rPr/>
      </w:pPr>
      <w:r>
        <w:rPr>
          <w:lang w:val="en-US"/>
        </w:rPr>
        <w:t xml:space="preserve">Employment stability variables also revealed meaningful patterns. Some demographic variables, such as marital status and car ownership, showed weaker standalone relationships with default risk. Other features like house and car ownership showed that ownership are stability indicators. Same as length of time in a job, graphically the median showed that the more the years in a job the lower the odds of defaulting.  Indicating that financial and residential stability are important predictors of credit risk. </w:t>
      </w:r>
    </w:p>
    <w:p>
      <w:pPr>
        <w:pStyle w:val="style0"/>
        <w:rPr>
          <w:b/>
          <w:bCs/>
        </w:rPr>
      </w:pPr>
      <w:r>
        <w:rPr>
          <w:b/>
          <w:bCs/>
          <w:lang w:val="en-US"/>
        </w:rPr>
        <w:t>Questions and Conclusions</w:t>
      </w:r>
    </w:p>
    <w:p>
      <w:pPr>
        <w:pStyle w:val="style0"/>
        <w:rPr/>
      </w:pPr>
      <w:r>
        <w:rPr>
          <w:lang w:val="en-US"/>
        </w:rPr>
        <w:t>EDA addressed several research questions. Firstly, default risk was found to be unevenly distributed across applicants, emphasizing the need for targeted risk assessment. Secondly, income was shown to have a strong negative relationship with default risk. Thirdly, employment and residential stability (net-worth), including car ownership were identified as relevant indicators of financial reliability. Finally, not all categorical variables contributed equally to insight, with high-cardinality variables adding limited value during exploration and so dropped from the data</w:t>
      </w:r>
    </w:p>
    <w:p>
      <w:pPr>
        <w:pStyle w:val="style0"/>
        <w:rPr/>
      </w:pPr>
      <w:r>
        <w:rPr>
          <w:lang w:val="en-US"/>
        </w:rPr>
        <w:t>In conclusion, the EDA process provided clear, actionable insights into the drivers of credit risk. These findings support the development of data-driven credit assessment models that prioritize income and stability-related features. The insights derived from EDA also informed feature selection and preprocessing decisions, ensuring a stable foundation for the following predictive modeling and business decision-making.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826</Words>
  <Characters>4927</Characters>
  <Application>WPS Office</Application>
  <Paragraphs>19</Paragraphs>
  <CharactersWithSpaces>5741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2026-03-05T02:37:31Z</dcterms:created>
  <dc:creator>SM-A065F</dc:creator>
  <lastModifiedBy>SM-A065F</lastModifiedBy>
  <dcterms:modified xsi:type="dcterms:W3CDTF">2026-03-05T04:51:00Z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1bff056f99cf41a7b9d5b43211e39bc6</vt:lpwstr>
  </property>
</Properties>
</file>