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B88F5" w14:textId="77777777" w:rsidR="00FD5C2B" w:rsidRPr="00FD5C2B" w:rsidRDefault="00FD5C2B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  <w:r w:rsidRPr="00FD5C2B">
        <w:rPr>
          <w:b/>
          <w:bCs/>
          <w:color w:val="auto"/>
          <w:sz w:val="28"/>
          <w:szCs w:val="28"/>
        </w:rPr>
        <w:t>Insight Summary</w:t>
      </w:r>
    </w:p>
    <w:p w14:paraId="4711D840" w14:textId="77777777" w:rsidR="00FD5C2B" w:rsidRPr="00FD5C2B" w:rsidRDefault="00FD5C2B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  <w:r w:rsidRPr="00FD5C2B">
        <w:rPr>
          <w:b/>
          <w:bCs/>
          <w:color w:val="auto"/>
          <w:sz w:val="28"/>
          <w:szCs w:val="28"/>
        </w:rPr>
        <w:t>Advanced Python Analysis AAPL Historical Stock Data</w:t>
      </w:r>
    </w:p>
    <w:p w14:paraId="12A1E067" w14:textId="77777777" w:rsidR="00FD5C2B" w:rsidRPr="00FD5C2B" w:rsidRDefault="00FD5C2B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  <w:r w:rsidRPr="00FD5C2B">
        <w:rPr>
          <w:b/>
          <w:bCs/>
          <w:color w:val="auto"/>
          <w:sz w:val="28"/>
          <w:szCs w:val="28"/>
        </w:rPr>
        <w:t xml:space="preserve">Prepared by Amarachi </w:t>
      </w:r>
      <w:proofErr w:type="spellStart"/>
      <w:r w:rsidRPr="00FD5C2B">
        <w:rPr>
          <w:b/>
          <w:bCs/>
          <w:color w:val="auto"/>
          <w:sz w:val="28"/>
          <w:szCs w:val="28"/>
        </w:rPr>
        <w:t>Okoli</w:t>
      </w:r>
      <w:proofErr w:type="spellEnd"/>
      <w:r w:rsidRPr="00FD5C2B">
        <w:rPr>
          <w:b/>
          <w:bCs/>
          <w:color w:val="auto"/>
          <w:sz w:val="28"/>
          <w:szCs w:val="28"/>
        </w:rPr>
        <w:t xml:space="preserve"> </w:t>
      </w:r>
    </w:p>
    <w:p w14:paraId="672A7807" w14:textId="77777777" w:rsidR="00FD5C2B" w:rsidRPr="00FD5C2B" w:rsidRDefault="00FD5C2B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  <w:r w:rsidRPr="00FD5C2B">
        <w:rPr>
          <w:b/>
          <w:bCs/>
          <w:color w:val="auto"/>
          <w:sz w:val="28"/>
          <w:szCs w:val="28"/>
        </w:rPr>
        <w:t>Week 6 Batch B</w:t>
      </w:r>
    </w:p>
    <w:p w14:paraId="634B8F9D" w14:textId="77777777" w:rsidR="00FD5C2B" w:rsidRPr="00FD5C2B" w:rsidRDefault="00FD5C2B" w:rsidP="00FD5C2B">
      <w:pPr>
        <w:pStyle w:val="Heading1"/>
        <w:spacing w:before="280" w:after="140"/>
        <w:rPr>
          <w:color w:val="auto"/>
        </w:rPr>
      </w:pPr>
      <w:r w:rsidRPr="00FD5C2B">
        <w:rPr>
          <w:b/>
          <w:bCs/>
          <w:color w:val="auto"/>
          <w:sz w:val="28"/>
          <w:szCs w:val="28"/>
        </w:rPr>
        <w:t>1. Dataset Overview</w:t>
      </w:r>
    </w:p>
    <w:p w14:paraId="64D16987" w14:textId="77777777" w:rsidR="00FD5C2B" w:rsidRPr="00F64674" w:rsidRDefault="00FD5C2B" w:rsidP="00FD5C2B">
      <w:pPr>
        <w:spacing w:after="140" w:line="276" w:lineRule="auto"/>
        <w:rPr>
          <w:sz w:val="24"/>
          <w:szCs w:val="24"/>
        </w:rPr>
      </w:pPr>
      <w:r w:rsidRPr="00F64674">
        <w:rPr>
          <w:sz w:val="24"/>
          <w:szCs w:val="24"/>
        </w:rPr>
        <w:t xml:space="preserve">This analysis uses </w:t>
      </w:r>
      <w:r w:rsidRPr="00F64674">
        <w:rPr>
          <w:bCs/>
          <w:sz w:val="24"/>
          <w:szCs w:val="24"/>
        </w:rPr>
        <w:t>daily historical stock data for Apple Inc. (AAPL)</w:t>
      </w:r>
      <w:r w:rsidRPr="00F64674">
        <w:rPr>
          <w:sz w:val="24"/>
          <w:szCs w:val="24"/>
        </w:rPr>
        <w:t xml:space="preserve"> covering a 5-year period from </w:t>
      </w:r>
      <w:r w:rsidRPr="00F64674">
        <w:rPr>
          <w:bCs/>
          <w:sz w:val="24"/>
          <w:szCs w:val="24"/>
        </w:rPr>
        <w:t>July 7, 2021 to July 6, 2026</w:t>
      </w:r>
      <w:r w:rsidRPr="00F64674">
        <w:rPr>
          <w:sz w:val="24"/>
          <w:szCs w:val="24"/>
        </w:rPr>
        <w:t xml:space="preserve"> (1,254 trading days). Data was retrieved programmatically using the </w:t>
      </w:r>
      <w:proofErr w:type="spellStart"/>
      <w:r w:rsidRPr="00F64674">
        <w:rPr>
          <w:bCs/>
          <w:sz w:val="24"/>
          <w:szCs w:val="24"/>
        </w:rPr>
        <w:t>yfinance</w:t>
      </w:r>
      <w:proofErr w:type="spellEnd"/>
      <w:r w:rsidRPr="00F64674">
        <w:rPr>
          <w:sz w:val="24"/>
          <w:szCs w:val="24"/>
        </w:rPr>
        <w:t xml:space="preserve"> Python library, which pulls the same underlying data published by Yahoo Finance, since Yahoo's website has gated direct CSV downloads for this ticker behind sign-in/subscription. The dataset includes seven fields: Date, Open, High, Low, Close, Adjusted Close, and Volume. Upon inspection, the dataset was found to be fully clean</w:t>
      </w:r>
      <w:r w:rsidRPr="00F64674">
        <w:rPr>
          <w:sz w:val="24"/>
          <w:szCs w:val="24"/>
        </w:rPr>
        <w:t>,</w:t>
      </w:r>
      <w:r w:rsidRPr="00F64674">
        <w:rPr>
          <w:sz w:val="24"/>
          <w:szCs w:val="24"/>
        </w:rPr>
        <w:t xml:space="preserve"> zero missing values and zero duplicate rows across all 1,254 records.</w:t>
      </w:r>
    </w:p>
    <w:p w14:paraId="50CA44AC" w14:textId="77777777" w:rsidR="00FD5C2B" w:rsidRPr="00FD5C2B" w:rsidRDefault="00FD5C2B" w:rsidP="00FD5C2B">
      <w:pPr>
        <w:pStyle w:val="Heading1"/>
        <w:spacing w:before="280" w:after="140"/>
        <w:rPr>
          <w:color w:val="auto"/>
        </w:rPr>
      </w:pPr>
      <w:r w:rsidRPr="00FD5C2B">
        <w:rPr>
          <w:b/>
          <w:bCs/>
          <w:color w:val="auto"/>
          <w:sz w:val="28"/>
          <w:szCs w:val="28"/>
        </w:rPr>
        <w:t>2. Data Transformation Techniques Applied</w:t>
      </w:r>
    </w:p>
    <w:p w14:paraId="7AB95226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Data cleaning: datetime conversion, chronological sorting, duplicate removal, missing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value handling via forward/backward fill</w:t>
      </w:r>
    </w:p>
    <w:p w14:paraId="32916993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Filtering: isolated trading days with closing price above $200 (494 of 1,254 days, ~39%)</w:t>
      </w:r>
    </w:p>
    <w:p w14:paraId="0F8C0A4A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Sorting: ranked trading days by volume to identify peak trading activity</w:t>
      </w:r>
    </w:p>
    <w:p w14:paraId="0A738337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 xml:space="preserve">Grouping and aggregation: monthly resampling (average, max, min close; total volume) via pandas </w:t>
      </w:r>
    </w:p>
    <w:p w14:paraId="0C7D8FA7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Calculated columns: Daily Range (High</w:t>
      </w:r>
      <w:r w:rsidRPr="00F64674">
        <w:rPr>
          <w:sz w:val="24"/>
          <w:szCs w:val="24"/>
        </w:rPr>
        <w:t>/</w:t>
      </w:r>
      <w:r w:rsidRPr="00F64674">
        <w:rPr>
          <w:sz w:val="24"/>
          <w:szCs w:val="24"/>
        </w:rPr>
        <w:t>Low) and Typical Price ((</w:t>
      </w:r>
      <w:proofErr w:type="spellStart"/>
      <w:r w:rsidRPr="00F64674">
        <w:rPr>
          <w:sz w:val="24"/>
          <w:szCs w:val="24"/>
        </w:rPr>
        <w:t>High+Low+Close</w:t>
      </w:r>
      <w:proofErr w:type="spellEnd"/>
      <w:r w:rsidRPr="00F64674">
        <w:rPr>
          <w:sz w:val="24"/>
          <w:szCs w:val="24"/>
        </w:rPr>
        <w:t>)/3)</w:t>
      </w:r>
    </w:p>
    <w:p w14:paraId="47FCB5C3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Formatting and restructuring: currency/volume string formatting for readability, and a Year × Month pivot table of average closing price</w:t>
      </w:r>
    </w:p>
    <w:p w14:paraId="44D5C73E" w14:textId="77777777" w:rsidR="00FD5C2B" w:rsidRPr="00FD5C2B" w:rsidRDefault="00FD5C2B" w:rsidP="00FD5C2B">
      <w:pPr>
        <w:pStyle w:val="Heading1"/>
        <w:spacing w:before="280" w:after="140"/>
        <w:rPr>
          <w:color w:val="auto"/>
        </w:rPr>
      </w:pPr>
      <w:r w:rsidRPr="00FD5C2B">
        <w:rPr>
          <w:b/>
          <w:bCs/>
          <w:color w:val="auto"/>
          <w:sz w:val="28"/>
          <w:szCs w:val="28"/>
        </w:rPr>
        <w:t>3. Time-Series Analysis Performed</w:t>
      </w:r>
    </w:p>
    <w:p w14:paraId="5849615A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 xml:space="preserve">Date component extraction (Year, Month, Day of Week) for </w:t>
      </w:r>
      <w:proofErr w:type="gramStart"/>
      <w:r w:rsidRPr="00F64674">
        <w:rPr>
          <w:sz w:val="24"/>
          <w:szCs w:val="24"/>
        </w:rPr>
        <w:t>time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based</w:t>
      </w:r>
      <w:proofErr w:type="gramEnd"/>
      <w:r w:rsidRPr="00F64674">
        <w:rPr>
          <w:sz w:val="24"/>
          <w:szCs w:val="24"/>
        </w:rPr>
        <w:t xml:space="preserve"> grouping</w:t>
      </w:r>
    </w:p>
    <w:p w14:paraId="12288CA5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Daily percentage change in closing price</w:t>
      </w:r>
    </w:p>
    <w:p w14:paraId="38A84C57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7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 and 30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 rolling (moving) averages</w:t>
      </w:r>
    </w:p>
    <w:p w14:paraId="2B857A80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Monthly returns via month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end resampling</w:t>
      </w:r>
    </w:p>
    <w:p w14:paraId="3AB9529F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Day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of</w:t>
      </w:r>
      <w:r w:rsidRPr="00F64674">
        <w:rPr>
          <w:sz w:val="24"/>
          <w:szCs w:val="24"/>
        </w:rPr>
        <w:t xml:space="preserve"> </w:t>
      </w:r>
      <w:proofErr w:type="spellStart"/>
      <w:r w:rsidRPr="00F64674">
        <w:rPr>
          <w:sz w:val="24"/>
          <w:szCs w:val="24"/>
        </w:rPr>
        <w:t>week</w:t>
      </w:r>
      <w:proofErr w:type="spellEnd"/>
      <w:r w:rsidRPr="00F64674">
        <w:rPr>
          <w:sz w:val="24"/>
          <w:szCs w:val="24"/>
        </w:rPr>
        <w:t xml:space="preserve"> performance comparison</w:t>
      </w:r>
    </w:p>
    <w:p w14:paraId="72A37A98" w14:textId="77777777" w:rsidR="00FD5C2B" w:rsidRPr="00FD5C2B" w:rsidRDefault="00FD5C2B" w:rsidP="00FD5C2B">
      <w:pPr>
        <w:pStyle w:val="Heading1"/>
        <w:spacing w:before="280" w:after="140"/>
        <w:rPr>
          <w:color w:val="auto"/>
        </w:rPr>
      </w:pPr>
      <w:r w:rsidRPr="00FD5C2B">
        <w:rPr>
          <w:b/>
          <w:bCs/>
          <w:color w:val="auto"/>
          <w:sz w:val="28"/>
          <w:szCs w:val="28"/>
        </w:rPr>
        <w:t>4. Features Engineered</w:t>
      </w:r>
    </w:p>
    <w:p w14:paraId="04A31B73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Daily Price Change (absolute $ move) and Daily % Change</w:t>
      </w:r>
    </w:p>
    <w:p w14:paraId="0060B292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7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 xml:space="preserve">day and </w:t>
      </w:r>
      <w:proofErr w:type="gramStart"/>
      <w:r w:rsidRPr="00F64674">
        <w:rPr>
          <w:sz w:val="24"/>
          <w:szCs w:val="24"/>
        </w:rPr>
        <w:t>30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</w:t>
      </w:r>
      <w:proofErr w:type="gramEnd"/>
      <w:r w:rsidRPr="00F64674">
        <w:rPr>
          <w:sz w:val="24"/>
          <w:szCs w:val="24"/>
        </w:rPr>
        <w:t xml:space="preserve"> Moving Averages</w:t>
      </w:r>
    </w:p>
    <w:p w14:paraId="18AF2976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30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 rolling volatility, annualized (× √252 trading days)</w:t>
      </w:r>
    </w:p>
    <w:p w14:paraId="12D663F8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Cumulative return since the start of the dataset</w:t>
      </w:r>
    </w:p>
    <w:p w14:paraId="45C5E99B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 xml:space="preserve">Trend flag: price position relative to its own </w:t>
      </w:r>
      <w:proofErr w:type="gramStart"/>
      <w:r w:rsidRPr="00F64674">
        <w:rPr>
          <w:sz w:val="24"/>
          <w:szCs w:val="24"/>
        </w:rPr>
        <w:t>30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</w:t>
      </w:r>
      <w:proofErr w:type="gramEnd"/>
      <w:r w:rsidRPr="00F64674">
        <w:rPr>
          <w:sz w:val="24"/>
          <w:szCs w:val="24"/>
        </w:rPr>
        <w:t xml:space="preserve"> moving average</w:t>
      </w:r>
    </w:p>
    <w:p w14:paraId="549FBA67" w14:textId="77777777" w:rsidR="00FD5C2B" w:rsidRPr="00F64674" w:rsidRDefault="00FD5C2B" w:rsidP="00FD5C2B">
      <w:pPr>
        <w:pStyle w:val="Heading1"/>
        <w:spacing w:before="280" w:after="140"/>
        <w:rPr>
          <w:b/>
          <w:bCs/>
          <w:color w:val="auto"/>
          <w:sz w:val="24"/>
          <w:szCs w:val="24"/>
        </w:rPr>
      </w:pPr>
    </w:p>
    <w:p w14:paraId="0EBEDE55" w14:textId="77777777" w:rsidR="00FD5C2B" w:rsidRDefault="00FD5C2B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</w:p>
    <w:p w14:paraId="4B641F58" w14:textId="77777777" w:rsidR="00FD5C2B" w:rsidRPr="00FD5C2B" w:rsidRDefault="00FD5C2B" w:rsidP="00FD5C2B">
      <w:pPr>
        <w:pStyle w:val="Heading1"/>
        <w:spacing w:before="280" w:after="140"/>
        <w:rPr>
          <w:color w:val="auto"/>
        </w:rPr>
      </w:pPr>
      <w:r w:rsidRPr="00FD5C2B">
        <w:rPr>
          <w:b/>
          <w:bCs/>
          <w:color w:val="auto"/>
          <w:sz w:val="28"/>
          <w:szCs w:val="28"/>
        </w:rPr>
        <w:t>5. Trends Identified &amp; Key Insights</w:t>
      </w:r>
    </w:p>
    <w:p w14:paraId="5B136336" w14:textId="77777777" w:rsidR="00FD5C2B" w:rsidRPr="00F64674" w:rsidRDefault="00FD5C2B" w:rsidP="00FD5C2B">
      <w:pPr>
        <w:spacing w:after="140" w:line="276" w:lineRule="auto"/>
        <w:rPr>
          <w:sz w:val="24"/>
          <w:szCs w:val="24"/>
        </w:rPr>
      </w:pPr>
      <w:r w:rsidRPr="00F64674">
        <w:rPr>
          <w:b/>
          <w:bCs/>
          <w:sz w:val="24"/>
          <w:szCs w:val="24"/>
        </w:rPr>
        <w:t xml:space="preserve">Overall trend: </w:t>
      </w:r>
      <w:r w:rsidRPr="00F64674">
        <w:rPr>
          <w:sz w:val="24"/>
          <w:szCs w:val="24"/>
        </w:rPr>
        <w:t xml:space="preserve">AAPL's closing price rose from $144.57 (Jul 7, 2021) to $312.66 (Jul 6, 2026) a total return of </w:t>
      </w:r>
      <w:r w:rsidRPr="00F64674">
        <w:rPr>
          <w:b/>
          <w:bCs/>
          <w:sz w:val="24"/>
          <w:szCs w:val="24"/>
        </w:rPr>
        <w:t>+116.3%</w:t>
      </w:r>
      <w:r w:rsidRPr="00F64674">
        <w:rPr>
          <w:sz w:val="24"/>
          <w:szCs w:val="24"/>
        </w:rPr>
        <w:t xml:space="preserve"> over 5 years. The </w:t>
      </w:r>
      <w:proofErr w:type="gramStart"/>
      <w:r w:rsidRPr="00F64674">
        <w:rPr>
          <w:sz w:val="24"/>
          <w:szCs w:val="24"/>
        </w:rPr>
        <w:t>5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year</w:t>
      </w:r>
      <w:proofErr w:type="gramEnd"/>
      <w:r w:rsidRPr="00F64674">
        <w:rPr>
          <w:sz w:val="24"/>
          <w:szCs w:val="24"/>
        </w:rPr>
        <w:t xml:space="preserve"> low was $125.02 (Jan 5, 2023); the high was $315.20 (Jun 2, 2026).</w:t>
      </w:r>
    </w:p>
    <w:p w14:paraId="11D1EC35" w14:textId="77777777" w:rsidR="00FD5C2B" w:rsidRPr="00F64674" w:rsidRDefault="00FD5C2B" w:rsidP="00FD5C2B">
      <w:pPr>
        <w:spacing w:after="140" w:line="276" w:lineRule="auto"/>
        <w:rPr>
          <w:sz w:val="24"/>
          <w:szCs w:val="24"/>
        </w:rPr>
      </w:pPr>
      <w:r w:rsidRPr="00F64674">
        <w:rPr>
          <w:b/>
          <w:bCs/>
          <w:sz w:val="24"/>
          <w:szCs w:val="24"/>
        </w:rPr>
        <w:t xml:space="preserve">Moving averages: </w:t>
      </w:r>
      <w:r w:rsidRPr="00F64674">
        <w:rPr>
          <w:sz w:val="24"/>
          <w:szCs w:val="24"/>
        </w:rPr>
        <w:t xml:space="preserve">Price traded above its </w:t>
      </w:r>
      <w:proofErr w:type="gramStart"/>
      <w:r w:rsidRPr="00F64674">
        <w:rPr>
          <w:sz w:val="24"/>
          <w:szCs w:val="24"/>
        </w:rPr>
        <w:t>30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</w:t>
      </w:r>
      <w:proofErr w:type="gramEnd"/>
      <w:r w:rsidRPr="00F64674">
        <w:rPr>
          <w:sz w:val="24"/>
          <w:szCs w:val="24"/>
        </w:rPr>
        <w:t xml:space="preserve"> MA </w:t>
      </w:r>
      <w:r w:rsidRPr="00F64674">
        <w:rPr>
          <w:b/>
          <w:bCs/>
          <w:sz w:val="24"/>
          <w:szCs w:val="24"/>
        </w:rPr>
        <w:t>55% of the time</w:t>
      </w:r>
      <w:r w:rsidRPr="00F64674">
        <w:rPr>
          <w:sz w:val="24"/>
          <w:szCs w:val="24"/>
        </w:rPr>
        <w:t>, with ~97 MA crossover events across the period</w:t>
      </w:r>
      <w:r w:rsidRPr="00F64674">
        <w:rPr>
          <w:sz w:val="24"/>
          <w:szCs w:val="24"/>
        </w:rPr>
        <w:t>,</w:t>
      </w:r>
      <w:r w:rsidRPr="00F64674">
        <w:rPr>
          <w:sz w:val="24"/>
          <w:szCs w:val="24"/>
        </w:rPr>
        <w:t xml:space="preserve"> signals occur roughly every 3 weeks on average.</w:t>
      </w:r>
    </w:p>
    <w:p w14:paraId="3D5F5BB6" w14:textId="77777777" w:rsidR="00FD5C2B" w:rsidRPr="00F64674" w:rsidRDefault="00FD5C2B" w:rsidP="00FD5C2B">
      <w:pPr>
        <w:spacing w:after="140" w:line="276" w:lineRule="auto"/>
        <w:rPr>
          <w:sz w:val="24"/>
          <w:szCs w:val="24"/>
        </w:rPr>
      </w:pPr>
      <w:r w:rsidRPr="00F64674">
        <w:rPr>
          <w:b/>
          <w:bCs/>
          <w:sz w:val="24"/>
          <w:szCs w:val="24"/>
        </w:rPr>
        <w:t xml:space="preserve">Volatility: </w:t>
      </w:r>
      <w:r w:rsidRPr="00F64674">
        <w:rPr>
          <w:sz w:val="24"/>
          <w:szCs w:val="24"/>
        </w:rPr>
        <w:t xml:space="preserve">Annualized </w:t>
      </w:r>
      <w:proofErr w:type="gramStart"/>
      <w:r w:rsidRPr="00F64674">
        <w:rPr>
          <w:sz w:val="24"/>
          <w:szCs w:val="24"/>
        </w:rPr>
        <w:t>30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</w:t>
      </w:r>
      <w:proofErr w:type="gramEnd"/>
      <w:r w:rsidRPr="00F64674">
        <w:rPr>
          <w:sz w:val="24"/>
          <w:szCs w:val="24"/>
        </w:rPr>
        <w:t xml:space="preserve"> volatility averaged </w:t>
      </w:r>
      <w:r w:rsidRPr="00F64674">
        <w:rPr>
          <w:b/>
          <w:bCs/>
          <w:sz w:val="24"/>
          <w:szCs w:val="24"/>
        </w:rPr>
        <w:t>~26%</w:t>
      </w:r>
      <w:r w:rsidRPr="00F64674">
        <w:rPr>
          <w:sz w:val="24"/>
          <w:szCs w:val="24"/>
        </w:rPr>
        <w:t xml:space="preserve">, spiking to </w:t>
      </w:r>
      <w:r w:rsidRPr="00F64674">
        <w:rPr>
          <w:b/>
          <w:bCs/>
          <w:sz w:val="24"/>
          <w:szCs w:val="24"/>
        </w:rPr>
        <w:t>~70%</w:t>
      </w:r>
      <w:r w:rsidRPr="00F64674">
        <w:rPr>
          <w:sz w:val="24"/>
          <w:szCs w:val="24"/>
        </w:rPr>
        <w:t xml:space="preserve"> around April/May 2025</w:t>
      </w:r>
      <w:r w:rsidRPr="00F64674">
        <w:rPr>
          <w:sz w:val="24"/>
          <w:szCs w:val="24"/>
        </w:rPr>
        <w:t>,</w:t>
      </w:r>
      <w:r w:rsidRPr="00F64674">
        <w:rPr>
          <w:sz w:val="24"/>
          <w:szCs w:val="24"/>
        </w:rPr>
        <w:t xml:space="preserve"> the same window containing the two most extreme single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 moves in the dataset (+15.3% on Apr 9, 2025 and -9.25% on Apr 3, 2025), consistent with a broad market shock rather than an AAPL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specific event.</w:t>
      </w:r>
    </w:p>
    <w:p w14:paraId="0E4E2046" w14:textId="77777777" w:rsidR="00FD5C2B" w:rsidRPr="00F64674" w:rsidRDefault="00FD5C2B" w:rsidP="00FD5C2B">
      <w:pPr>
        <w:spacing w:after="140" w:line="276" w:lineRule="auto"/>
        <w:rPr>
          <w:sz w:val="24"/>
          <w:szCs w:val="24"/>
        </w:rPr>
      </w:pPr>
      <w:r w:rsidRPr="00F64674">
        <w:rPr>
          <w:b/>
          <w:bCs/>
          <w:sz w:val="24"/>
          <w:szCs w:val="24"/>
        </w:rPr>
        <w:t xml:space="preserve">Monthly returns: </w:t>
      </w:r>
      <w:r w:rsidRPr="00F64674">
        <w:rPr>
          <w:sz w:val="24"/>
          <w:szCs w:val="24"/>
        </w:rPr>
        <w:t>34 of 60 months (57%) were positive. Best month: July 2022 (+18.9%). Worst month: December 2022 (-12.2%), consistent with the broader 2022 tech sector drawdown.</w:t>
      </w:r>
    </w:p>
    <w:p w14:paraId="6638D806" w14:textId="77777777" w:rsidR="00FD5C2B" w:rsidRPr="00F64674" w:rsidRDefault="00FD5C2B" w:rsidP="00FD5C2B">
      <w:pPr>
        <w:spacing w:after="140" w:line="276" w:lineRule="auto"/>
        <w:rPr>
          <w:sz w:val="24"/>
          <w:szCs w:val="24"/>
        </w:rPr>
      </w:pPr>
      <w:r w:rsidRPr="00F64674">
        <w:rPr>
          <w:b/>
          <w:bCs/>
          <w:sz w:val="24"/>
          <w:szCs w:val="24"/>
        </w:rPr>
        <w:t>Day</w:t>
      </w:r>
      <w:r w:rsidRPr="00F64674">
        <w:rPr>
          <w:b/>
          <w:bCs/>
          <w:sz w:val="24"/>
          <w:szCs w:val="24"/>
        </w:rPr>
        <w:t xml:space="preserve"> </w:t>
      </w:r>
      <w:r w:rsidRPr="00F64674">
        <w:rPr>
          <w:b/>
          <w:bCs/>
          <w:sz w:val="24"/>
          <w:szCs w:val="24"/>
        </w:rPr>
        <w:t>of</w:t>
      </w:r>
      <w:r w:rsidRPr="00F64674">
        <w:rPr>
          <w:b/>
          <w:bCs/>
          <w:sz w:val="24"/>
          <w:szCs w:val="24"/>
        </w:rPr>
        <w:t xml:space="preserve"> </w:t>
      </w:r>
      <w:r w:rsidRPr="00F64674">
        <w:rPr>
          <w:b/>
          <w:bCs/>
          <w:sz w:val="24"/>
          <w:szCs w:val="24"/>
        </w:rPr>
        <w:t xml:space="preserve">week effect: </w:t>
      </w:r>
      <w:r w:rsidRPr="00F64674">
        <w:rPr>
          <w:sz w:val="24"/>
          <w:szCs w:val="24"/>
        </w:rPr>
        <w:t>Average daily % change is small across all weekdays (range: -0.09% to +0.15</w:t>
      </w:r>
      <w:proofErr w:type="gramStart"/>
      <w:r w:rsidRPr="00F64674">
        <w:rPr>
          <w:sz w:val="24"/>
          <w:szCs w:val="24"/>
        </w:rPr>
        <w:t>%)  no</w:t>
      </w:r>
      <w:proofErr w:type="gramEnd"/>
      <w:r w:rsidRPr="00F64674">
        <w:rPr>
          <w:sz w:val="24"/>
          <w:szCs w:val="24"/>
        </w:rPr>
        <w:t xml:space="preserve"> reliable, tradeable weekday pattern found.</w:t>
      </w:r>
    </w:p>
    <w:p w14:paraId="2DC439AB" w14:textId="74875C03" w:rsidR="00FD5C2B" w:rsidRPr="00F64674" w:rsidRDefault="00FD5C2B" w:rsidP="00FD5C2B">
      <w:pPr>
        <w:spacing w:after="140" w:line="276" w:lineRule="auto"/>
        <w:rPr>
          <w:sz w:val="24"/>
          <w:szCs w:val="24"/>
        </w:rPr>
      </w:pPr>
      <w:r w:rsidRPr="00F64674">
        <w:rPr>
          <w:b/>
          <w:bCs/>
          <w:sz w:val="24"/>
          <w:szCs w:val="24"/>
        </w:rPr>
        <w:t xml:space="preserve">Trading volume: </w:t>
      </w:r>
      <w:r w:rsidRPr="00F64674">
        <w:rPr>
          <w:sz w:val="24"/>
          <w:szCs w:val="24"/>
        </w:rPr>
        <w:t xml:space="preserve">Average daily volume was </w:t>
      </w:r>
      <w:r w:rsidRPr="00F64674">
        <w:rPr>
          <w:b/>
          <w:bCs/>
          <w:sz w:val="24"/>
          <w:szCs w:val="24"/>
        </w:rPr>
        <w:t>~65.3 million shares</w:t>
      </w:r>
      <w:r w:rsidRPr="00F64674">
        <w:rPr>
          <w:sz w:val="24"/>
          <w:szCs w:val="24"/>
        </w:rPr>
        <w:t xml:space="preserve">, with a peak of </w:t>
      </w:r>
      <w:r w:rsidRPr="00F64674">
        <w:rPr>
          <w:b/>
          <w:bCs/>
          <w:sz w:val="24"/>
          <w:szCs w:val="24"/>
        </w:rPr>
        <w:t>~318.7 million shares</w:t>
      </w:r>
      <w:r w:rsidRPr="00F64674">
        <w:rPr>
          <w:sz w:val="24"/>
          <w:szCs w:val="24"/>
        </w:rPr>
        <w:t xml:space="preserve"> on Sept 20, 2024, consistent with an index-rebalancing / options</w:t>
      </w:r>
      <w:r w:rsidR="003B20BD"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expiration event.</w:t>
      </w:r>
    </w:p>
    <w:p w14:paraId="5BE526A4" w14:textId="77777777" w:rsidR="00FD5C2B" w:rsidRPr="00FD5C2B" w:rsidRDefault="00FD5C2B" w:rsidP="00FD5C2B">
      <w:pPr>
        <w:pStyle w:val="Heading1"/>
        <w:spacing w:before="280" w:after="140"/>
        <w:rPr>
          <w:color w:val="auto"/>
        </w:rPr>
      </w:pPr>
      <w:r w:rsidRPr="00FD5C2B">
        <w:rPr>
          <w:b/>
          <w:bCs/>
          <w:color w:val="auto"/>
          <w:sz w:val="28"/>
          <w:szCs w:val="28"/>
        </w:rPr>
        <w:t>6. Recommendations</w:t>
      </w:r>
    </w:p>
    <w:p w14:paraId="01085366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Risk management (position sizing, stop-losses) should flex dynamically around known high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volatility windows rather than assume constant risk exposure.</w:t>
      </w:r>
    </w:p>
    <w:p w14:paraId="37742029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The 7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day/</w:t>
      </w:r>
      <w:proofErr w:type="gramStart"/>
      <w:r w:rsidRPr="00F64674">
        <w:rPr>
          <w:sz w:val="24"/>
          <w:szCs w:val="24"/>
        </w:rPr>
        <w:t>30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day</w:t>
      </w:r>
      <w:proofErr w:type="gramEnd"/>
      <w:r w:rsidRPr="00F64674">
        <w:rPr>
          <w:sz w:val="24"/>
          <w:szCs w:val="24"/>
        </w:rPr>
        <w:t xml:space="preserve"> MA crossover is a simple, interpretable trend signal worth back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testing further with realistic transaction costs before use in a live strategy.</w:t>
      </w:r>
    </w:p>
    <w:p w14:paraId="7D028FE5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>No meaningful day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of</w:t>
      </w:r>
      <w:r w:rsidRPr="00F64674">
        <w:rPr>
          <w:sz w:val="24"/>
          <w:szCs w:val="24"/>
        </w:rPr>
        <w:t xml:space="preserve"> </w:t>
      </w:r>
      <w:r w:rsidRPr="00F64674">
        <w:rPr>
          <w:sz w:val="24"/>
          <w:szCs w:val="24"/>
        </w:rPr>
        <w:t>week effect was found in this sample timing entries by weekday is not supported by the data.</w:t>
      </w:r>
    </w:p>
    <w:p w14:paraId="6657490A" w14:textId="77777777" w:rsidR="00FD5C2B" w:rsidRPr="00F64674" w:rsidRDefault="00FD5C2B" w:rsidP="00FD5C2B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64674">
        <w:rPr>
          <w:sz w:val="24"/>
          <w:szCs w:val="24"/>
        </w:rPr>
        <w:t xml:space="preserve">Because data was retrieved programmatically via </w:t>
      </w:r>
      <w:proofErr w:type="spellStart"/>
      <w:r w:rsidRPr="00F64674">
        <w:rPr>
          <w:sz w:val="24"/>
          <w:szCs w:val="24"/>
        </w:rPr>
        <w:t>yfinance</w:t>
      </w:r>
      <w:proofErr w:type="spellEnd"/>
      <w:r w:rsidRPr="00F64674">
        <w:rPr>
          <w:sz w:val="24"/>
          <w:szCs w:val="24"/>
        </w:rPr>
        <w:t>, this analysis pipeline can be re-run on demand to refresh results with the latest trading days.</w:t>
      </w:r>
    </w:p>
    <w:p w14:paraId="0760FC93" w14:textId="77777777" w:rsidR="00F64674" w:rsidRDefault="00F64674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</w:p>
    <w:p w14:paraId="097721F2" w14:textId="77777777" w:rsidR="00F64674" w:rsidRDefault="00F64674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</w:p>
    <w:p w14:paraId="425B67A7" w14:textId="77777777" w:rsidR="00F64674" w:rsidRDefault="00F64674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</w:p>
    <w:p w14:paraId="073631C7" w14:textId="77777777" w:rsidR="00F64674" w:rsidRDefault="00F64674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</w:p>
    <w:p w14:paraId="05BD8E1A" w14:textId="77777777" w:rsidR="00F64674" w:rsidRDefault="00F64674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</w:p>
    <w:p w14:paraId="4CF61F75" w14:textId="77777777" w:rsidR="00F64674" w:rsidRDefault="00F64674" w:rsidP="00FD5C2B">
      <w:pPr>
        <w:pStyle w:val="Heading1"/>
        <w:spacing w:before="280" w:after="140"/>
        <w:rPr>
          <w:b/>
          <w:bCs/>
          <w:color w:val="auto"/>
          <w:sz w:val="28"/>
          <w:szCs w:val="28"/>
        </w:rPr>
      </w:pPr>
    </w:p>
    <w:p w14:paraId="3D99E06C" w14:textId="5401325E" w:rsidR="00FD5C2B" w:rsidRPr="00FD5C2B" w:rsidRDefault="00FD5C2B" w:rsidP="00FD5C2B">
      <w:pPr>
        <w:pStyle w:val="Heading1"/>
        <w:spacing w:before="280" w:after="140"/>
        <w:rPr>
          <w:color w:val="auto"/>
        </w:rPr>
      </w:pPr>
      <w:bookmarkStart w:id="0" w:name="_GoBack"/>
      <w:bookmarkEnd w:id="0"/>
      <w:r w:rsidRPr="00FD5C2B">
        <w:rPr>
          <w:b/>
          <w:bCs/>
          <w:color w:val="auto"/>
          <w:sz w:val="28"/>
          <w:szCs w:val="28"/>
        </w:rPr>
        <w:lastRenderedPageBreak/>
        <w:t>7. Supporting Visualizations</w:t>
      </w:r>
    </w:p>
    <w:p w14:paraId="53435644" w14:textId="77777777" w:rsidR="00FD5C2B" w:rsidRPr="00FD5C2B" w:rsidRDefault="00FD5C2B" w:rsidP="00FD5C2B">
      <w:pPr>
        <w:spacing w:before="100" w:after="40"/>
        <w:jc w:val="center"/>
      </w:pPr>
      <w:r w:rsidRPr="00FD5C2B">
        <w:rPr>
          <w:noProof/>
        </w:rPr>
        <w:drawing>
          <wp:inline distT="0" distB="0" distL="0" distR="0" wp14:anchorId="3D52D703" wp14:editId="2E0F6C20">
            <wp:extent cx="63627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5009" w14:textId="77777777" w:rsidR="00FD5C2B" w:rsidRPr="00FD5C2B" w:rsidRDefault="00FD5C2B" w:rsidP="00FD5C2B">
      <w:pPr>
        <w:spacing w:after="160"/>
        <w:jc w:val="center"/>
      </w:pPr>
      <w:r w:rsidRPr="00FD5C2B">
        <w:rPr>
          <w:i/>
          <w:iCs/>
          <w:sz w:val="18"/>
          <w:szCs w:val="18"/>
        </w:rPr>
        <w:t>Figure 1: AAPL Closing Price Trend (5-Year)</w:t>
      </w:r>
    </w:p>
    <w:p w14:paraId="1F78413D" w14:textId="77777777" w:rsidR="00FD5C2B" w:rsidRPr="00FD5C2B" w:rsidRDefault="00FD5C2B" w:rsidP="00FD5C2B">
      <w:pPr>
        <w:spacing w:before="100" w:after="40"/>
        <w:jc w:val="center"/>
      </w:pPr>
      <w:r w:rsidRPr="00FD5C2B">
        <w:rPr>
          <w:noProof/>
        </w:rPr>
        <w:drawing>
          <wp:inline distT="0" distB="0" distL="0" distR="0" wp14:anchorId="20B3DFE5" wp14:editId="2FA1069F">
            <wp:extent cx="6261735" cy="26289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7E13" w14:textId="77777777" w:rsidR="00FD5C2B" w:rsidRPr="00FD5C2B" w:rsidRDefault="00FD5C2B" w:rsidP="00FD5C2B">
      <w:pPr>
        <w:spacing w:after="160"/>
        <w:jc w:val="center"/>
      </w:pPr>
      <w:r w:rsidRPr="00FD5C2B">
        <w:rPr>
          <w:i/>
          <w:iCs/>
          <w:sz w:val="18"/>
          <w:szCs w:val="18"/>
        </w:rPr>
        <w:t>Figure 2: AAPL Daily Trading Volume (5-Year)</w:t>
      </w:r>
    </w:p>
    <w:p w14:paraId="2DD09298" w14:textId="77777777" w:rsidR="00FD5C2B" w:rsidRPr="00FD5C2B" w:rsidRDefault="00FD5C2B" w:rsidP="00FD5C2B">
      <w:pPr>
        <w:spacing w:before="100" w:after="40"/>
        <w:jc w:val="center"/>
      </w:pPr>
      <w:r w:rsidRPr="00FD5C2B">
        <w:rPr>
          <w:noProof/>
        </w:rPr>
        <w:lastRenderedPageBreak/>
        <w:drawing>
          <wp:inline distT="0" distB="0" distL="0" distR="0" wp14:anchorId="4F87BE9A" wp14:editId="25A806AB">
            <wp:extent cx="6010275" cy="2720340"/>
            <wp:effectExtent l="0" t="0" r="952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9614" w14:textId="77777777" w:rsidR="00FD5C2B" w:rsidRPr="00FD5C2B" w:rsidRDefault="00FD5C2B" w:rsidP="00FD5C2B">
      <w:pPr>
        <w:spacing w:after="160"/>
        <w:jc w:val="center"/>
      </w:pPr>
      <w:r w:rsidRPr="00FD5C2B">
        <w:rPr>
          <w:i/>
          <w:iCs/>
          <w:sz w:val="18"/>
          <w:szCs w:val="18"/>
        </w:rPr>
        <w:t>Figure 3: Closing Price with 7-Day and 30-Day Moving Averages</w:t>
      </w:r>
    </w:p>
    <w:p w14:paraId="204E5456" w14:textId="77777777" w:rsidR="00FD5C2B" w:rsidRPr="00FD5C2B" w:rsidRDefault="00FD5C2B" w:rsidP="00FD5C2B">
      <w:pPr>
        <w:spacing w:before="100" w:after="40"/>
        <w:jc w:val="center"/>
      </w:pPr>
      <w:r w:rsidRPr="00FD5C2B">
        <w:rPr>
          <w:noProof/>
        </w:rPr>
        <w:drawing>
          <wp:inline distT="0" distB="0" distL="0" distR="0" wp14:anchorId="3A14971A" wp14:editId="42F59723">
            <wp:extent cx="6162675" cy="2705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1D43" w14:textId="77777777" w:rsidR="00FD5C2B" w:rsidRPr="00FD5C2B" w:rsidRDefault="00FD5C2B" w:rsidP="00FD5C2B">
      <w:pPr>
        <w:spacing w:after="160"/>
        <w:jc w:val="center"/>
      </w:pPr>
      <w:r w:rsidRPr="00FD5C2B">
        <w:rPr>
          <w:i/>
          <w:iCs/>
          <w:sz w:val="18"/>
          <w:szCs w:val="18"/>
        </w:rPr>
        <w:t>Figure 4: AAPL Monthly Returns (%)</w:t>
      </w:r>
    </w:p>
    <w:p w14:paraId="1D9D921F" w14:textId="77777777" w:rsidR="00FD5C2B" w:rsidRPr="00FD5C2B" w:rsidRDefault="00FD5C2B" w:rsidP="00FD5C2B">
      <w:pPr>
        <w:spacing w:before="100" w:after="40"/>
        <w:jc w:val="center"/>
      </w:pPr>
      <w:r w:rsidRPr="00FD5C2B">
        <w:rPr>
          <w:noProof/>
        </w:rPr>
        <w:lastRenderedPageBreak/>
        <w:drawing>
          <wp:inline distT="0" distB="0" distL="0" distR="0" wp14:anchorId="62B3F99F" wp14:editId="2D7C35C9">
            <wp:extent cx="6063615" cy="2750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1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6FA0" w14:textId="77777777" w:rsidR="00FD5C2B" w:rsidRPr="00FD5C2B" w:rsidRDefault="00FD5C2B" w:rsidP="00FD5C2B">
      <w:pPr>
        <w:spacing w:after="160"/>
        <w:jc w:val="center"/>
      </w:pPr>
      <w:r w:rsidRPr="00FD5C2B">
        <w:rPr>
          <w:i/>
          <w:iCs/>
          <w:sz w:val="18"/>
          <w:szCs w:val="18"/>
        </w:rPr>
        <w:t>Figure 5: Annualized 30-Day Rolling Volatility</w:t>
      </w:r>
    </w:p>
    <w:p w14:paraId="08F62817" w14:textId="77777777" w:rsidR="00531EC7" w:rsidRPr="00FD5C2B" w:rsidRDefault="00531EC7"/>
    <w:sectPr w:rsidR="00531EC7" w:rsidRPr="00FD5C2B"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FFDA0" w14:textId="77777777" w:rsidR="00FD5C2B" w:rsidRDefault="00FD5C2B" w:rsidP="00FD5C2B">
      <w:r>
        <w:separator/>
      </w:r>
    </w:p>
  </w:endnote>
  <w:endnote w:type="continuationSeparator" w:id="0">
    <w:p w14:paraId="6A79765A" w14:textId="77777777" w:rsidR="00FD5C2B" w:rsidRDefault="00FD5C2B" w:rsidP="00FD5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12394" w14:textId="77777777" w:rsidR="00EC2F00" w:rsidRDefault="00F64674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281E83" w14:textId="77777777" w:rsidR="00FD5C2B" w:rsidRDefault="00FD5C2B" w:rsidP="00FD5C2B">
      <w:r>
        <w:separator/>
      </w:r>
    </w:p>
  </w:footnote>
  <w:footnote w:type="continuationSeparator" w:id="0">
    <w:p w14:paraId="3DE06C84" w14:textId="77777777" w:rsidR="00FD5C2B" w:rsidRDefault="00FD5C2B" w:rsidP="00FD5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116B9"/>
    <w:multiLevelType w:val="hybridMultilevel"/>
    <w:tmpl w:val="C3D098FE"/>
    <w:lvl w:ilvl="0" w:tplc="AD10CE4E">
      <w:start w:val="1"/>
      <w:numFmt w:val="bullet"/>
      <w:lvlText w:val="•"/>
      <w:lvlJc w:val="left"/>
      <w:pPr>
        <w:ind w:left="504" w:hanging="288"/>
      </w:pPr>
    </w:lvl>
    <w:lvl w:ilvl="1" w:tplc="2078F050">
      <w:numFmt w:val="decimal"/>
      <w:lvlText w:val=""/>
      <w:lvlJc w:val="left"/>
    </w:lvl>
    <w:lvl w:ilvl="2" w:tplc="C55CD1FA">
      <w:numFmt w:val="decimal"/>
      <w:lvlText w:val=""/>
      <w:lvlJc w:val="left"/>
    </w:lvl>
    <w:lvl w:ilvl="3" w:tplc="DB8E5938">
      <w:numFmt w:val="decimal"/>
      <w:lvlText w:val=""/>
      <w:lvlJc w:val="left"/>
    </w:lvl>
    <w:lvl w:ilvl="4" w:tplc="23944826">
      <w:numFmt w:val="decimal"/>
      <w:lvlText w:val=""/>
      <w:lvlJc w:val="left"/>
    </w:lvl>
    <w:lvl w:ilvl="5" w:tplc="385EEDCC">
      <w:numFmt w:val="decimal"/>
      <w:lvlText w:val=""/>
      <w:lvlJc w:val="left"/>
    </w:lvl>
    <w:lvl w:ilvl="6" w:tplc="434C2B20">
      <w:numFmt w:val="decimal"/>
      <w:lvlText w:val=""/>
      <w:lvlJc w:val="left"/>
    </w:lvl>
    <w:lvl w:ilvl="7" w:tplc="C18CA2EC">
      <w:numFmt w:val="decimal"/>
      <w:lvlText w:val=""/>
      <w:lvlJc w:val="left"/>
    </w:lvl>
    <w:lvl w:ilvl="8" w:tplc="B46E68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2B"/>
    <w:rsid w:val="003B20BD"/>
    <w:rsid w:val="00531EC7"/>
    <w:rsid w:val="00F64674"/>
    <w:rsid w:val="00FD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7920"/>
  <w15:chartTrackingRefBased/>
  <w15:docId w15:val="{FE974D0D-5178-4A9C-B672-70CC4E12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5C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link w:val="Heading1Char"/>
    <w:uiPriority w:val="9"/>
    <w:qFormat/>
    <w:rsid w:val="00FD5C2B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C2B"/>
    <w:rPr>
      <w:rFonts w:ascii="Times New Roman" w:eastAsia="Times New Roman" w:hAnsi="Times New Roman" w:cs="Times New Roman"/>
      <w:color w:val="2E74B5"/>
      <w:sz w:val="32"/>
      <w:szCs w:val="32"/>
      <w:lang w:eastAsia="en-GB"/>
    </w:rPr>
  </w:style>
  <w:style w:type="paragraph" w:styleId="ListParagraph">
    <w:name w:val="List Paragraph"/>
    <w:qFormat/>
    <w:rsid w:val="00FD5C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FD5C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C2B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D5C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C2B"/>
    <w:rPr>
      <w:rFonts w:ascii="Times New Roman" w:eastAsia="Times New Roman" w:hAnsi="Times New Roman" w:cs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2026-07-09T06:03:00Z</dcterms:created>
  <dcterms:modified xsi:type="dcterms:W3CDTF">2026-07-09T06:30:00Z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34adf294-6c33-43ee-817d-680f8dfde420</vt:lpwstr>
  </property>
</Properties>
</file>