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Eight Discipline Corrective Action Guide for Small Manufacturing Teams</w:t>
      </w:r>
    </w:p>
    <w:p>
      <w:r>
        <w:t>A practical guide and working record for operations teams without dedicated quality staff</w:t>
      </w:r>
    </w:p>
    <w:p>
      <w:r>
        <w:t>Use this guide when a defect escapes, repeats, affects a customer, or has a serious safety or regulatory consequence. Contain suspect product immediately. The team records evidence at every step, communicates with the customer under the agreed procedure, and closes the case only after proving the fix worked. Customer or regulatory instructions control when they require a different method or timeline.</w:t>
      </w:r>
    </w:p>
    <w:p>
      <w:pPr>
        <w:pStyle w:val="Heading1"/>
      </w:pPr>
      <w:r>
        <w:t>Quick route through the eight disciplines</w:t>
      </w:r>
    </w:p>
    <w:tbl>
      <w:tblPr>
        <w:tblW w:type="auto" w:w="0"/>
        <w:tblLayout w:type="fixed"/>
        <w:tblLook w:firstColumn="1" w:firstRow="1" w:lastColumn="0" w:lastRow="0" w:noHBand="0" w:noVBand="1" w:val="04A0"/>
      </w:tblPr>
      <w:tblGrid>
        <w:gridCol w:w="3264"/>
        <w:gridCol w:w="3264"/>
        <w:gridCol w:w="3264"/>
      </w:tblGrid>
      <w:tr>
        <w:tc>
          <w:tcPr>
            <w:tcW w:type="dxa" w:w="1152"/>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Step</w:t>
            </w:r>
          </w:p>
        </w:tc>
        <w:tc>
          <w:tcPr>
            <w:tcW w:type="dxa" w:w="4536"/>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Decision the team must make</w:t>
            </w:r>
          </w:p>
        </w:tc>
        <w:tc>
          <w:tcPr>
            <w:tcW w:type="dxa" w:w="4032"/>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Evidence to keep</w:t>
            </w:r>
          </w:p>
        </w:tc>
      </w:tr>
      <w:tr>
        <w:tc>
          <w:tcPr>
            <w:tcW w:type="dxa" w:w="115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D0 Prepare</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Is there immediate risk? What product must be held?</w:t>
            </w:r>
          </w:p>
        </w:tc>
        <w:tc>
          <w:tcPr>
            <w:tcW w:type="dxa" w:w="403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Incident ID, hold boundary, escalation</w:t>
            </w:r>
          </w:p>
        </w:tc>
      </w:tr>
      <w:tr>
        <w:tc>
          <w:tcPr>
            <w:tcW w:type="dxa" w:w="115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D1 Team</w:t>
            </w:r>
          </w:p>
        </w:tc>
        <w:tc>
          <w:tcPr>
            <w:tcW w:type="dxa" w:w="453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Who knows the process and who owns the case?</w:t>
            </w:r>
          </w:p>
        </w:tc>
        <w:tc>
          <w:tcPr>
            <w:tcW w:type="dxa" w:w="403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Names, roles, contact, due date</w:t>
            </w:r>
          </w:p>
        </w:tc>
      </w:tr>
      <w:tr>
        <w:tc>
          <w:tcPr>
            <w:tcW w:type="dxa" w:w="115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D2 Describe</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What happened, where, when, how much?</w:t>
            </w:r>
          </w:p>
        </w:tc>
        <w:tc>
          <w:tcPr>
            <w:tcW w:type="dxa" w:w="403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Defect definition, counts and examples</w:t>
            </w:r>
          </w:p>
        </w:tc>
      </w:tr>
      <w:tr>
        <w:tc>
          <w:tcPr>
            <w:tcW w:type="dxa" w:w="115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D3 Contain</w:t>
            </w:r>
          </w:p>
        </w:tc>
        <w:tc>
          <w:tcPr>
            <w:tcW w:type="dxa" w:w="453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What stops another bad unit reaching the customer?</w:t>
            </w:r>
          </w:p>
        </w:tc>
        <w:tc>
          <w:tcPr>
            <w:tcW w:type="dxa" w:w="403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Inspection, segregation, effectiveness check</w:t>
            </w:r>
          </w:p>
        </w:tc>
      </w:tr>
      <w:tr>
        <w:tc>
          <w:tcPr>
            <w:tcW w:type="dxa" w:w="115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D4 Causes</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Why did the defect occur and escape detection?</w:t>
            </w:r>
          </w:p>
        </w:tc>
        <w:tc>
          <w:tcPr>
            <w:tcW w:type="dxa" w:w="403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Tests for occurrence and escape hypotheses</w:t>
            </w:r>
          </w:p>
        </w:tc>
      </w:tr>
      <w:tr>
        <w:tc>
          <w:tcPr>
            <w:tcW w:type="dxa" w:w="115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D5 Choose fixes</w:t>
            </w:r>
          </w:p>
        </w:tc>
        <w:tc>
          <w:tcPr>
            <w:tcW w:type="dxa" w:w="453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Which actions address verified causes?</w:t>
            </w:r>
          </w:p>
        </w:tc>
        <w:tc>
          <w:tcPr>
            <w:tcW w:type="dxa" w:w="403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Action decision and trial criteria</w:t>
            </w:r>
          </w:p>
        </w:tc>
      </w:tr>
      <w:tr>
        <w:tc>
          <w:tcPr>
            <w:tcW w:type="dxa" w:w="115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D6 Prove and implement</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Did the process change prevent recurrence?</w:t>
            </w:r>
          </w:p>
        </w:tc>
        <w:tc>
          <w:tcPr>
            <w:tcW w:type="dxa" w:w="403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Before and after data, approvals</w:t>
            </w:r>
          </w:p>
        </w:tc>
      </w:tr>
      <w:tr>
        <w:tc>
          <w:tcPr>
            <w:tcW w:type="dxa" w:w="115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D7 Prevent repeat</w:t>
            </w:r>
          </w:p>
        </w:tc>
        <w:tc>
          <w:tcPr>
            <w:tcW w:type="dxa" w:w="453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What system changes keep the fix in place?</w:t>
            </w:r>
          </w:p>
        </w:tc>
        <w:tc>
          <w:tcPr>
            <w:tcW w:type="dxa" w:w="403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Revised control plan, training, audits</w:t>
            </w:r>
          </w:p>
        </w:tc>
      </w:tr>
      <w:tr>
        <w:tc>
          <w:tcPr>
            <w:tcW w:type="dxa" w:w="115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D8 Close</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Did the customer and team accept the evidence?</w:t>
            </w:r>
          </w:p>
        </w:tc>
        <w:tc>
          <w:tcPr>
            <w:tcW w:type="dxa" w:w="403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Closure, owner, recognition</w:t>
            </w:r>
          </w:p>
        </w:tc>
      </w:tr>
    </w:tbl>
    <w:p>
      <w:pPr>
        <w:spacing w:after="0"/>
      </w:pPr>
    </w:p>
    <w:p>
      <w:pPr>
        <w:pStyle w:val="Heading1"/>
      </w:pPr>
      <w:r>
        <w:t>D0 Prepare and protect</w:t>
      </w:r>
    </w:p>
    <w:p>
      <w:r>
        <w:t>Open a case when the trigger meets the customer’s corrective action rule or when a team member sees a plausible escape. Record the part, revision, lot, site, process, and time. If safety, legal, or regulatory risk is possible, stop shipment and escalate immediately to the authorized company and customer contacts. Define the suspect population by the last known good point, affected lots, work in process, stock, goods in transit, and shipped product. Do not use an arbitrary date or the first discovered unit as the containment boundary without evidence.</w:t>
      </w:r>
    </w:p>
    <w:p>
      <w:r>
        <w:t>Working record  Case ID: ______  Opened: ______  Owner: ______  Customer or program: ______  Part and revision: ______  Last known good: ______  Suspect lot and quantity: ______  Shipment hold authority: ______</w:t>
      </w:r>
    </w:p>
    <w:p>
      <w:pPr>
        <w:pStyle w:val="Heading1"/>
      </w:pPr>
      <w:r>
        <w:t>D1 Form a small capable team</w:t>
      </w:r>
    </w:p>
    <w:p>
      <w:r>
        <w:t>A three-person team can work: one operator or supervisor who knows the job, one person who understands the equipment or engineering requirement, and one person who can review inspection and customer evidence. Add a purchaser or supplier contact when incoming material is implicated. Assign a case owner, actions, deadlines, and a person authorized to speak to the customer. Avoid asking the same person to independently approve their own evidence.</w:t>
      </w:r>
    </w:p>
    <w:p>
      <w:r>
        <w:t>Working record  Team members and roles: __________________________________________________________  Customer contact and update cadence: __________________  Next review date: __________________</w:t>
      </w:r>
    </w:p>
    <w:p>
      <w:pPr>
        <w:pStyle w:val="Heading1"/>
      </w:pPr>
      <w:r>
        <w:t>D2 Describe the problem so it can be tested</w:t>
      </w:r>
    </w:p>
    <w:p>
      <w:r>
        <w:t>Write what is wrong in observable terms: “Twelve of 240 inspected brackets from lot B24 have hole diameter above drawing revision C limit,” rather than “machining issue.” Show an image or measurement when possible. State what is in scope and what is not: part number, station, shift, date, lot, defect location, and magnitude. Preserve the denominator and inspection method; a complaint count alone is not a defect rate. Compare good and bad samples, and check whether the inspection method is reliable enough for the decision.</w:t>
      </w:r>
    </w:p>
    <w:tbl>
      <w:tblPr>
        <w:tblW w:type="auto" w:w="0"/>
        <w:tblLayout w:type="fixed"/>
        <w:tblLook w:firstColumn="1" w:firstRow="1" w:lastColumn="0" w:lastRow="0" w:noHBand="0" w:noVBand="1" w:val="04A0"/>
      </w:tblPr>
      <w:tblGrid>
        <w:gridCol w:w="4896"/>
        <w:gridCol w:w="4896"/>
      </w:tblGrid>
      <w:tr>
        <w:tc>
          <w:tcPr>
            <w:tcW w:type="dxa" w:w="3312"/>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Question</w:t>
            </w:r>
          </w:p>
        </w:tc>
        <w:tc>
          <w:tcPr>
            <w:tcW w:type="dxa" w:w="6408"/>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Record</w:t>
            </w:r>
          </w:p>
        </w:tc>
      </w:tr>
      <w:tr>
        <w:tc>
          <w:tcPr>
            <w:tcW w:type="dxa" w:w="331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What / specification</w:t>
            </w:r>
          </w:p>
        </w:tc>
        <w:tc>
          <w:tcPr>
            <w:tcW w:type="dxa" w:w="6408"/>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_______________________________________________</w:t>
            </w:r>
          </w:p>
        </w:tc>
      </w:tr>
      <w:tr>
        <w:tc>
          <w:tcPr>
            <w:tcW w:type="dxa" w:w="331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Where / operation / shift</w:t>
            </w:r>
          </w:p>
        </w:tc>
        <w:tc>
          <w:tcPr>
            <w:tcW w:type="dxa" w:w="6408"/>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_______________________________________________</w:t>
            </w:r>
          </w:p>
        </w:tc>
      </w:tr>
      <w:tr>
        <w:tc>
          <w:tcPr>
            <w:tcW w:type="dxa" w:w="331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When / first and last occurrence</w:t>
            </w:r>
          </w:p>
        </w:tc>
        <w:tc>
          <w:tcPr>
            <w:tcW w:type="dxa" w:w="6408"/>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_______________________________________________</w:t>
            </w:r>
          </w:p>
        </w:tc>
      </w:tr>
      <w:tr>
        <w:tc>
          <w:tcPr>
            <w:tcW w:type="dxa" w:w="331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How many / denominator</w:t>
            </w:r>
          </w:p>
        </w:tc>
        <w:tc>
          <w:tcPr>
            <w:tcW w:type="dxa" w:w="6408"/>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_______________________________________________</w:t>
            </w:r>
          </w:p>
        </w:tc>
      </w:tr>
      <w:tr>
        <w:tc>
          <w:tcPr>
            <w:tcW w:type="dxa" w:w="331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Good versus bad comparison</w:t>
            </w:r>
          </w:p>
        </w:tc>
        <w:tc>
          <w:tcPr>
            <w:tcW w:type="dxa" w:w="6408"/>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_______________________________________________</w:t>
            </w:r>
          </w:p>
        </w:tc>
      </w:tr>
    </w:tbl>
    <w:p>
      <w:pPr>
        <w:spacing w:after="0"/>
      </w:pPr>
    </w:p>
    <w:p>
      <w:pPr>
        <w:pStyle w:val="Heading1"/>
      </w:pPr>
      <w:r>
        <w:t>D3 Contain the suspect population</w:t>
      </w:r>
    </w:p>
    <w:p>
      <w:r>
        <w:t>Choose a temporary action that physically separates or identifies suspect material and screens all exposure points. Examples include an approved 100% inspection, an added test, or a verified fixture check. Write the inspection method, sample or coverage rule, inspector qualification, disposition, and how inspected material is marked. Independently verify the containment catches a known bad sample and does not release uninspected product. Track yield and escapes daily; give the customer the status it requires. Temporary inspection is not a permanent cause correction.</w:t>
      </w:r>
    </w:p>
    <w:p>
      <w:r>
        <w:t>Working record  Hold scope: ______  Stock locations checked: ______  Screening method and owner: ______  Known-bad challenge result: ______  Quantity checked / rejected / released: ______  Customer notice and approval reference: ______</w:t>
      </w:r>
    </w:p>
    <w:p>
      <w:pPr>
        <w:pStyle w:val="Heading1"/>
      </w:pPr>
      <w:r>
        <w:t>D4 Find both the occurrence cause and the escape cause</w:t>
      </w:r>
    </w:p>
    <w:p>
      <w:r>
        <w:t>Occurrence cause explains how the defect was made. Escape cause explains why existing controls failed to detect or stop it. Draw the actual process and compare normal and abnormal conditions. Use a short cause-and-effect discussion or five whys to generate hypotheses, then test each one against records or a controlled trial. “Operator error” is rarely a useful stopping point: identify the work condition, instruction, fixture, gage, training, material, or control that allowed the error. If the evidence does not support a hypothesis, mark it rejected rather than calling it root cause.</w:t>
      </w:r>
    </w:p>
    <w:tbl>
      <w:tblPr>
        <w:tblW w:type="auto" w:w="0"/>
        <w:tblLayout w:type="fixed"/>
        <w:tblLook w:firstColumn="1" w:firstRow="1" w:lastColumn="0" w:lastRow="0" w:noHBand="0" w:noVBand="1" w:val="04A0"/>
      </w:tblPr>
      <w:tblGrid>
        <w:gridCol w:w="3264"/>
        <w:gridCol w:w="3264"/>
        <w:gridCol w:w="3264"/>
      </w:tblGrid>
      <w:tr>
        <w:tc>
          <w:tcPr>
            <w:tcW w:type="dxa" w:w="1656"/>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Cause type</w:t>
            </w:r>
          </w:p>
        </w:tc>
        <w:tc>
          <w:tcPr>
            <w:tcW w:type="dxa" w:w="4752"/>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Hypothesis and discriminating test</w:t>
            </w:r>
          </w:p>
        </w:tc>
        <w:tc>
          <w:tcPr>
            <w:tcW w:type="dxa" w:w="3312"/>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Result and evidence ID</w:t>
            </w:r>
          </w:p>
        </w:tc>
      </w:tr>
      <w:tr>
        <w:tc>
          <w:tcPr>
            <w:tcW w:type="dxa" w:w="165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Occurrence</w:t>
            </w:r>
          </w:p>
        </w:tc>
        <w:tc>
          <w:tcPr>
            <w:tcW w:type="dxa" w:w="475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w:t>
            </w:r>
          </w:p>
        </w:tc>
        <w:tc>
          <w:tcPr>
            <w:tcW w:type="dxa" w:w="331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w:t>
            </w:r>
          </w:p>
        </w:tc>
      </w:tr>
      <w:tr>
        <w:tc>
          <w:tcPr>
            <w:tcW w:type="dxa" w:w="165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Escape</w:t>
            </w:r>
          </w:p>
        </w:tc>
        <w:tc>
          <w:tcPr>
            <w:tcW w:type="dxa" w:w="475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w:t>
            </w:r>
          </w:p>
        </w:tc>
        <w:tc>
          <w:tcPr>
            <w:tcW w:type="dxa" w:w="331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w:t>
            </w:r>
          </w:p>
        </w:tc>
      </w:tr>
    </w:tbl>
    <w:p>
      <w:pPr>
        <w:spacing w:after="0"/>
      </w:pPr>
    </w:p>
    <w:p>
      <w:r>
        <w:t>Example only, not pilot evidence  An incorrect fixture stop can make an oversized hole. A gage with a worn locator can miss that oversize. The team should measure fixture stops and challenge the gage with known good and bad parts before concluding either is causal.</w:t>
      </w:r>
    </w:p>
    <w:p>
      <w:pPr>
        <w:pStyle w:val="Heading1"/>
      </w:pPr>
      <w:r>
        <w:t>D5 Select permanent corrective actions</w:t>
      </w:r>
    </w:p>
    <w:p>
      <w:r>
        <w:t>Choose an action for each verified cause. Prefer a process or fixture change that prevents an error over retraining alone; improve detection when prevention cannot fully control the risk. Assess new risks introduced by the fix and obtain engineering and customer approval for any design or process change. Define how the team will know the action worked: acceptance limit, trial quantity, rate, and observation period. Keep containment in place until authorized to remove it.</w:t>
      </w:r>
    </w:p>
    <w:p>
      <w:r>
        <w:t>Working record  Cause → action → owner → due date → approval → trial criterion: ________________________________</w:t>
      </w:r>
    </w:p>
    <w:p>
      <w:pPr>
        <w:pStyle w:val="Heading1"/>
      </w:pPr>
      <w:r>
        <w:t>D6 Implement and validate with production evidence</w:t>
      </w:r>
    </w:p>
    <w:p>
      <w:r>
        <w:t>Trial the permanent actions under normal staffing, tooling, materials, and rate. Verify the action was installed as intended; then validate that it prevents or detects the defect over a meaningful sample and time window. Record units inspected, defect counts, process settings, comparison period, and changes in inspection coverage. If results fail, return to D4 or D5. After required customer agreement, update work instructions and release the temporary containment through a documented decision.</w:t>
      </w:r>
    </w:p>
    <w:p>
      <w:r>
        <w:t>Working record  Implementation date and revision: ______  Before data and denominator: ______  Trial data and denominator: ______  Approval to remove containment: ______  Residual risk: ______</w:t>
      </w:r>
    </w:p>
    <w:p>
      <w:pPr>
        <w:pStyle w:val="Heading1"/>
      </w:pPr>
      <w:r>
        <w:t>D7 Change the system to prevent recurrence</w:t>
      </w:r>
    </w:p>
    <w:p>
      <w:r>
        <w:t>Update the process flow, PFMEA or other risk record, control plan, gage or maintenance plan, training, audit questions, and similar operations where the same cause could recur. Assign an owner to audit the revised control after 30 or 90 days. Record whether other part families, machines, shifts, or suppliers need the same protection. An updated document without observed use on the floor is not evidence of sustained control.</w:t>
      </w:r>
    </w:p>
    <w:p>
      <w:r>
        <w:t>Working record  Revised records and versions: ______  Training or shift confirmation: ______  Similar processes checked: ______  Follow-up audit date and owner: ______</w:t>
      </w:r>
    </w:p>
    <w:p>
      <w:pPr>
        <w:pStyle w:val="Heading1"/>
      </w:pPr>
      <w:r>
        <w:t>D8 Close the case and recognize the team</w:t>
      </w:r>
    </w:p>
    <w:p>
      <w:r>
        <w:t>Review whether every discipline has evidence, customer communications are complete, and the verification window has passed. Obtain the responsible internal and customer closure decision where required. Summarize the lesson in plain language, acknowledge the people who found and fixed the issue, and preserve the record under the applicable retention rule. Reopen the case if the failure mode returns.</w:t>
      </w:r>
    </w:p>
    <w:p>
      <w:r>
        <w:t>Working record  Internal approver / date: ______  Customer closure / date: ______  Lessons shared with: ______  Case file location: ______</w:t>
      </w:r>
    </w:p>
    <w:p>
      <w:pPr>
        <w:pStyle w:val="Heading1"/>
      </w:pPr>
      <w:r>
        <w:t>Closure review</w:t>
      </w:r>
    </w:p>
    <w:tbl>
      <w:tblPr>
        <w:tblW w:type="auto" w:w="0"/>
        <w:tblLayout w:type="fixed"/>
        <w:tblLook w:firstColumn="1" w:firstRow="1" w:lastColumn="0" w:lastRow="0" w:noHBand="0" w:noVBand="1" w:val="04A0"/>
      </w:tblPr>
      <w:tblGrid>
        <w:gridCol w:w="4896"/>
        <w:gridCol w:w="4896"/>
      </w:tblGrid>
      <w:tr>
        <w:tc>
          <w:tcPr>
            <w:tcW w:type="dxa" w:w="5184"/>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Question before closure</w:t>
            </w:r>
          </w:p>
        </w:tc>
        <w:tc>
          <w:tcPr>
            <w:tcW w:type="dxa" w:w="4536"/>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Evidence reference or decision</w:t>
            </w:r>
          </w:p>
        </w:tc>
      </w:tr>
      <w:tr>
        <w:tc>
          <w:tcPr>
            <w:tcW w:type="dxa" w:w="5184"/>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Are all affected lots accounted for?</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w:t>
            </w:r>
          </w:p>
        </w:tc>
      </w:tr>
      <w:tr>
        <w:tc>
          <w:tcPr>
            <w:tcW w:type="dxa" w:w="5184"/>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Are occurrence and escape causes supported by tests?</w:t>
            </w:r>
          </w:p>
        </w:tc>
        <w:tc>
          <w:tcPr>
            <w:tcW w:type="dxa" w:w="453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w:t>
            </w:r>
          </w:p>
        </w:tc>
      </w:tr>
      <w:tr>
        <w:tc>
          <w:tcPr>
            <w:tcW w:type="dxa" w:w="5184"/>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Did normal production conditions validate the fix?</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w:t>
            </w:r>
          </w:p>
        </w:tc>
      </w:tr>
      <w:tr>
        <w:tc>
          <w:tcPr>
            <w:tcW w:type="dxa" w:w="5184"/>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Was temporary containment released by an authorized person?</w:t>
            </w:r>
          </w:p>
        </w:tc>
        <w:tc>
          <w:tcPr>
            <w:tcW w:type="dxa" w:w="453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w:t>
            </w:r>
          </w:p>
        </w:tc>
      </w:tr>
      <w:tr>
        <w:tc>
          <w:tcPr>
            <w:tcW w:type="dxa" w:w="5184"/>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Were the control plan and related records revised?</w:t>
            </w:r>
          </w:p>
        </w:tc>
        <w:tc>
          <w:tcPr>
            <w:tcW w:type="dxa" w:w="453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w:t>
            </w:r>
          </w:p>
        </w:tc>
      </w:tr>
      <w:tr>
        <w:tc>
          <w:tcPr>
            <w:tcW w:type="dxa" w:w="5184"/>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Has the follow-up audit owner and date been assigned?</w:t>
            </w:r>
          </w:p>
        </w:tc>
        <w:tc>
          <w:tcPr>
            <w:tcW w:type="dxa" w:w="453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________________________________________</w:t>
            </w:r>
          </w:p>
        </w:tc>
      </w:tr>
    </w:tbl>
    <w:p>
      <w:pPr>
        <w:spacing w:after="0"/>
      </w:pPr>
    </w:p>
    <w:p>
      <w:pPr>
        <w:pStyle w:val="Heading1"/>
      </w:pPr>
      <w:r>
        <w:t>Reusable action log</w:t>
      </w:r>
    </w:p>
    <w:tbl>
      <w:tblPr>
        <w:tblW w:type="auto" w:w="0"/>
        <w:tblLayout w:type="fixed"/>
        <w:tblLook w:firstColumn="1" w:firstRow="1" w:lastColumn="0" w:lastRow="0" w:noHBand="0" w:noVBand="1" w:val="04A0"/>
      </w:tblPr>
      <w:tblGrid>
        <w:gridCol w:w="2448"/>
        <w:gridCol w:w="2448"/>
        <w:gridCol w:w="2448"/>
        <w:gridCol w:w="2448"/>
      </w:tblGrid>
      <w:tr>
        <w:tc>
          <w:tcPr>
            <w:tcW w:type="dxa" w:w="4032"/>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Action and reason</w:t>
            </w:r>
          </w:p>
        </w:tc>
        <w:tc>
          <w:tcPr>
            <w:tcW w:type="dxa" w:w="1512"/>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Owner</w:t>
            </w:r>
          </w:p>
        </w:tc>
        <w:tc>
          <w:tcPr>
            <w:tcW w:type="dxa" w:w="1296"/>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Due</w:t>
            </w:r>
          </w:p>
        </w:tc>
        <w:tc>
          <w:tcPr>
            <w:tcW w:type="dxa" w:w="2880"/>
            <w:vAlign w:val="center"/>
            <w:shd w:fill="24364A"/>
            <w:tcBorders>
              <w:top w:val="single" w:sz="4" w:color="D9D9D9"/>
              <w:left w:val="single" w:sz="4" w:color="D9D9D9"/>
              <w:bottom w:val="single" w:sz="4" w:color="D9D9D9"/>
              <w:right w:val="single" w:sz="4" w:color="D9D9D9"/>
            </w:tcBorders>
          </w:tcPr>
          <w:p>
            <w:pPr>
              <w:spacing w:after="0"/>
            </w:pPr>
            <w:r>
              <w:rPr>
                <w:b/>
                <w:color w:val="FFFFFF"/>
                <w:sz w:val="18"/>
              </w:rPr>
              <w:t>Evidence / decision</w:t>
            </w:r>
          </w:p>
        </w:tc>
      </w:tr>
      <w:tr>
        <w:tc>
          <w:tcPr>
            <w:tcW w:type="dxa" w:w="403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w:t>
            </w:r>
          </w:p>
        </w:tc>
        <w:tc>
          <w:tcPr>
            <w:tcW w:type="dxa" w:w="151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w:t>
            </w:r>
          </w:p>
        </w:tc>
        <w:tc>
          <w:tcPr>
            <w:tcW w:type="dxa" w:w="129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w:t>
            </w:r>
          </w:p>
        </w:tc>
        <w:tc>
          <w:tcPr>
            <w:tcW w:type="dxa" w:w="2880"/>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w:t>
            </w:r>
          </w:p>
        </w:tc>
      </w:tr>
      <w:tr>
        <w:tc>
          <w:tcPr>
            <w:tcW w:type="dxa" w:w="403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w:t>
            </w:r>
          </w:p>
        </w:tc>
        <w:tc>
          <w:tcPr>
            <w:tcW w:type="dxa" w:w="1512"/>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w:t>
            </w:r>
          </w:p>
        </w:tc>
        <w:tc>
          <w:tcPr>
            <w:tcW w:type="dxa" w:w="1296"/>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w:t>
            </w:r>
          </w:p>
        </w:tc>
        <w:tc>
          <w:tcPr>
            <w:tcW w:type="dxa" w:w="2880"/>
            <w:vAlign w:val="center"/>
            <w:shd w:fill="F1F5F8"/>
            <w:tcBorders>
              <w:top w:val="single" w:sz="4" w:color="D9D9D9"/>
              <w:left w:val="single" w:sz="4" w:color="D9D9D9"/>
              <w:bottom w:val="single" w:sz="4" w:color="D9D9D9"/>
              <w:right w:val="single" w:sz="4" w:color="D9D9D9"/>
            </w:tcBorders>
          </w:tcPr>
          <w:p>
            <w:pPr>
              <w:spacing w:after="0"/>
            </w:pPr>
            <w:r>
              <w:rPr>
                <w:b w:val="0"/>
                <w:color w:val="000000"/>
                <w:sz w:val="18"/>
              </w:rPr>
              <w:t>________________________</w:t>
            </w:r>
          </w:p>
        </w:tc>
      </w:tr>
      <w:tr>
        <w:tc>
          <w:tcPr>
            <w:tcW w:type="dxa" w:w="403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________________________________</w:t>
            </w:r>
          </w:p>
        </w:tc>
        <w:tc>
          <w:tcPr>
            <w:tcW w:type="dxa" w:w="1512"/>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w:t>
            </w:r>
          </w:p>
        </w:tc>
        <w:tc>
          <w:tcPr>
            <w:tcW w:type="dxa" w:w="1296"/>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w:t>
            </w:r>
          </w:p>
        </w:tc>
        <w:tc>
          <w:tcPr>
            <w:tcW w:type="dxa" w:w="2880"/>
            <w:vAlign w:val="center"/>
            <w:shd w:fill="FFFFFF"/>
            <w:tcBorders>
              <w:top w:val="single" w:sz="4" w:color="D9D9D9"/>
              <w:left w:val="single" w:sz="4" w:color="D9D9D9"/>
              <w:bottom w:val="single" w:sz="4" w:color="D9D9D9"/>
              <w:right w:val="single" w:sz="4" w:color="D9D9D9"/>
            </w:tcBorders>
          </w:tcPr>
          <w:p>
            <w:pPr>
              <w:spacing w:after="0"/>
            </w:pPr>
            <w:r>
              <w:rPr>
                <w:b w:val="0"/>
                <w:color w:val="000000"/>
                <w:sz w:val="18"/>
              </w:rPr>
              <w:t>________________________</w:t>
            </w:r>
          </w:p>
        </w:tc>
      </w:tr>
    </w:tbl>
    <w:p>
      <w:pPr>
        <w:spacing w:after="0"/>
      </w:pPr>
    </w:p>
    <w:p>
      <w:pPr>
        <w:pStyle w:val="Heading1"/>
      </w:pPr>
      <w:r>
        <w:t>Reference and boundaries</w:t>
      </w:r>
    </w:p>
    <w:p>
      <w:r>
        <w:t>This is an original educational guide, not an AIAG 8D form and not a replacement for contractual corrective action procedures. Reference for related quality tools: AIAG quality manuals, https://www.aiag.org/training-and-resources/manuals ; NIST MEP ISO and Quality Management, https://www.nist.gov/mep/iso-and-quality-management (accessed 23 September 2026). © 2026 Amarachukwu Tasie. No employer or agency endorsement is implied.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SME Supplier Quality Readiness Toolkit  •  Version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