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Femicidios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Ecuador</w:t>
      </w:r>
    </w:p>
    <w:p>
      <w:pPr>
        <w:pStyle w:val="Author"/>
      </w:pPr>
      <w:r>
        <w:t xml:space="preserve">Alejandra</w:t>
      </w:r>
      <w:r>
        <w:t xml:space="preserve"> </w:t>
      </w:r>
      <w:r>
        <w:t xml:space="preserve">Marchán</w:t>
      </w:r>
      <w:r>
        <w:t xml:space="preserve"> </w:t>
      </w:r>
      <w:r>
        <w:t xml:space="preserve">y</w:t>
      </w:r>
      <w:r>
        <w:t xml:space="preserve"> </w:t>
      </w:r>
      <w:r>
        <w:t xml:space="preserve">Daniel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2022-10-26</w:t>
      </w:r>
    </w:p>
    <w:bookmarkStart w:id="23" w:name="femicidios-en-ecuador"/>
    <w:p>
      <w:pPr>
        <w:pStyle w:val="Heading1"/>
      </w:pPr>
      <w:r>
        <w:t xml:space="preserve">Femicidios en Ecuador</w:t>
      </w:r>
    </w:p>
    <w:p>
      <w:pPr>
        <w:pStyle w:val="FirstParagraph"/>
      </w:pPr>
      <w:r>
        <w:drawing>
          <wp:inline>
            <wp:extent cx="5334000" cy="298703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raf1-femicidios-vs-otr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actualidad existe un recuento de las muertes violentas de las mujeres desde agosto 2014, año en el que se tipificó el delito de femicidio en el Código Orgánico Integral Penal - cuerpo de ley que regula el poder punitivo del estado ecuatoriano - hasta finales de 2022, período en el que los autores recuperaron los datos del gráfico de arriba de el reporte presentado por el Consejo Nacional de Igualdad de Género.</w:t>
      </w:r>
    </w:p>
    <w:bookmarkEnd w:id="23"/>
    <w:bookmarkStart w:id="24" w:name="el-problema-estadístico"/>
    <w:p>
      <w:pPr>
        <w:pStyle w:val="Heading1"/>
      </w:pPr>
      <w:r>
        <w:t xml:space="preserve">El Problema Estadístico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Femicidios en el Ecuador</dc:title>
  <dc:creator>Alejandra Marchán y Daniel Sánchez</dc:creator>
  <cp:keywords/>
  <dcterms:created xsi:type="dcterms:W3CDTF">2022-10-26T09:26:12Z</dcterms:created>
  <dcterms:modified xsi:type="dcterms:W3CDTF">2022-10-26T09:26:12Z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2022-10-26</vt:lpwstr>
  </property>
  <property fmtid="{D5CDD505-2E9C-101B-9397-08002B2CF9AE}" pid="3" name="output">
    <vt:lpwstr>word_document</vt:lpwstr>
  </property>
</Properties>
</file>