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0B49" w14:textId="0DB79835" w:rsidR="001F6C7C" w:rsidRPr="001F6C7C" w:rsidRDefault="001F6C7C" w:rsidP="001F6C7C">
      <w:pPr>
        <w:pStyle w:val="Ttulo1"/>
        <w:spacing w:before="300" w:after="200"/>
        <w:rPr>
          <w:lang w:val="es-MX"/>
        </w:rPr>
      </w:pPr>
      <w:r w:rsidRPr="001F6C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/>
        </w:rPr>
        <w:t>.</w:t>
      </w:r>
      <w:r w:rsidR="006101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/>
        </w:rPr>
        <w:t xml:space="preserve"> </w:t>
      </w:r>
      <w:r w:rsidRPr="001F6C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MX"/>
        </w:rPr>
        <w:t>Requisitos No Funcionales Cuantificables (ISO/IEC 25010)</w:t>
      </w:r>
    </w:p>
    <w:tbl>
      <w:tblPr>
        <w:tblW w:w="1080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2800"/>
        <w:gridCol w:w="3600"/>
        <w:gridCol w:w="1600"/>
      </w:tblGrid>
      <w:tr w:rsidR="001F6C7C" w14:paraId="313BC02D" w14:textId="77777777" w:rsidTr="001F6C7C">
        <w:trPr>
          <w:tblHeader/>
        </w:trPr>
        <w:tc>
          <w:tcPr>
            <w:tcW w:w="900" w:type="dxa"/>
            <w:shd w:val="clear" w:color="auto" w:fill="D9D9D9"/>
          </w:tcPr>
          <w:p w14:paraId="7265AA7C" w14:textId="77777777" w:rsidR="001F6C7C" w:rsidRDefault="001F6C7C" w:rsidP="009747FD">
            <w:pPr>
              <w:jc w:val="center"/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1900" w:type="dxa"/>
            <w:shd w:val="clear" w:color="auto" w:fill="D9D9D9"/>
          </w:tcPr>
          <w:p w14:paraId="414A5561" w14:textId="77777777" w:rsidR="001F6C7C" w:rsidRDefault="001F6C7C" w:rsidP="009747FD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Característica</w:t>
            </w:r>
            <w:proofErr w:type="spellEnd"/>
            <w:r>
              <w:rPr>
                <w:b/>
                <w:bCs/>
                <w:color w:val="000000"/>
              </w:rPr>
              <w:t xml:space="preserve"> ISO/IEC 25010</w:t>
            </w:r>
          </w:p>
        </w:tc>
        <w:tc>
          <w:tcPr>
            <w:tcW w:w="2800" w:type="dxa"/>
            <w:shd w:val="clear" w:color="auto" w:fill="D9D9D9"/>
          </w:tcPr>
          <w:p w14:paraId="5BBA3E3B" w14:textId="77777777" w:rsidR="001F6C7C" w:rsidRDefault="001F6C7C" w:rsidP="009747FD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Requisito</w:t>
            </w:r>
            <w:proofErr w:type="spellEnd"/>
            <w:r>
              <w:rPr>
                <w:b/>
                <w:bCs/>
                <w:color w:val="000000"/>
              </w:rPr>
              <w:t xml:space="preserve"> No </w:t>
            </w:r>
            <w:proofErr w:type="spellStart"/>
            <w:r>
              <w:rPr>
                <w:b/>
                <w:bCs/>
                <w:color w:val="000000"/>
              </w:rPr>
              <w:t>Funcional</w:t>
            </w:r>
            <w:proofErr w:type="spellEnd"/>
            <w:r>
              <w:rPr>
                <w:b/>
                <w:bCs/>
                <w:color w:val="000000"/>
              </w:rPr>
              <w:t xml:space="preserve"> (RNF)</w:t>
            </w:r>
          </w:p>
        </w:tc>
        <w:tc>
          <w:tcPr>
            <w:tcW w:w="3600" w:type="dxa"/>
            <w:shd w:val="clear" w:color="auto" w:fill="D9D9D9"/>
          </w:tcPr>
          <w:p w14:paraId="12F24F07" w14:textId="77777777" w:rsidR="001F6C7C" w:rsidRPr="001F6C7C" w:rsidRDefault="001F6C7C" w:rsidP="009747FD">
            <w:pPr>
              <w:jc w:val="center"/>
              <w:rPr>
                <w:lang w:val="es-MX"/>
              </w:rPr>
            </w:pPr>
            <w:r w:rsidRPr="001F6C7C">
              <w:rPr>
                <w:b/>
                <w:bCs/>
                <w:color w:val="000000"/>
                <w:lang w:val="es-MX"/>
              </w:rPr>
              <w:t>Métrica / Criterio de Aceptación Cuantificable</w:t>
            </w:r>
          </w:p>
        </w:tc>
        <w:tc>
          <w:tcPr>
            <w:tcW w:w="1600" w:type="dxa"/>
            <w:shd w:val="clear" w:color="auto" w:fill="D9D9D9"/>
          </w:tcPr>
          <w:p w14:paraId="74CE811A" w14:textId="77777777" w:rsidR="001F6C7C" w:rsidRDefault="001F6C7C" w:rsidP="009747FD">
            <w:pPr>
              <w:jc w:val="center"/>
            </w:pPr>
            <w:r>
              <w:rPr>
                <w:b/>
                <w:bCs/>
                <w:color w:val="000000"/>
              </w:rPr>
              <w:t xml:space="preserve">RC </w:t>
            </w:r>
            <w:proofErr w:type="spellStart"/>
            <w:r>
              <w:rPr>
                <w:b/>
                <w:bCs/>
                <w:color w:val="000000"/>
              </w:rPr>
              <w:t>relacionado</w:t>
            </w:r>
            <w:proofErr w:type="spellEnd"/>
          </w:p>
        </w:tc>
      </w:tr>
      <w:tr w:rsidR="001F6C7C" w14:paraId="242DAB2D" w14:textId="77777777" w:rsidTr="001F6C7C">
        <w:tc>
          <w:tcPr>
            <w:tcW w:w="900" w:type="dxa"/>
          </w:tcPr>
          <w:p w14:paraId="5C485065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RNF-01</w:t>
            </w:r>
          </w:p>
        </w:tc>
        <w:tc>
          <w:tcPr>
            <w:tcW w:w="1900" w:type="dxa"/>
          </w:tcPr>
          <w:p w14:paraId="5D41088F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Eficiencia de desempeño (Tiempo de respuesta)</w:t>
            </w:r>
          </w:p>
        </w:tc>
        <w:tc>
          <w:tcPr>
            <w:tcW w:w="2800" w:type="dxa"/>
          </w:tcPr>
          <w:p w14:paraId="22F235EF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responder con rapidez a las búsquedas de pacientes por nombre del animal o del dueño.</w:t>
            </w:r>
          </w:p>
        </w:tc>
        <w:tc>
          <w:tcPr>
            <w:tcW w:w="3600" w:type="dxa"/>
          </w:tcPr>
          <w:p w14:paraId="410BDF73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Tiempo de respuesta ≤ 2 segundos en el 95% de las búsquedas, sobre una base de hasta 500 pacientes activos.</w:t>
            </w:r>
          </w:p>
        </w:tc>
        <w:tc>
          <w:tcPr>
            <w:tcW w:w="1600" w:type="dxa"/>
          </w:tcPr>
          <w:p w14:paraId="7F881F82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RC-03</w:t>
            </w:r>
          </w:p>
        </w:tc>
      </w:tr>
      <w:tr w:rsidR="001F6C7C" w14:paraId="77219F1A" w14:textId="77777777" w:rsidTr="001F6C7C">
        <w:tc>
          <w:tcPr>
            <w:tcW w:w="900" w:type="dxa"/>
          </w:tcPr>
          <w:p w14:paraId="070C9506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RNF-02</w:t>
            </w:r>
          </w:p>
        </w:tc>
        <w:tc>
          <w:tcPr>
            <w:tcW w:w="1900" w:type="dxa"/>
          </w:tcPr>
          <w:p w14:paraId="08BDB916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Eficiencia de desempeño (Comportamiento temporal)</w:t>
            </w:r>
          </w:p>
        </w:tc>
        <w:tc>
          <w:tcPr>
            <w:tcW w:w="2800" w:type="dxa"/>
          </w:tcPr>
          <w:p w14:paraId="7172336B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registro de una factura debe completarse de forma ágil, sin pasos innecesarios.</w:t>
            </w:r>
          </w:p>
        </w:tc>
        <w:tc>
          <w:tcPr>
            <w:tcW w:w="3600" w:type="dxa"/>
          </w:tcPr>
          <w:p w14:paraId="452B7313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proceso de facturación no debe exceder 3 pasos ni 90 segundos desde el inicio hasta la emisión.</w:t>
            </w:r>
          </w:p>
        </w:tc>
        <w:tc>
          <w:tcPr>
            <w:tcW w:w="1600" w:type="dxa"/>
          </w:tcPr>
          <w:p w14:paraId="2EEA8CA0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RC-08</w:t>
            </w:r>
          </w:p>
        </w:tc>
      </w:tr>
      <w:tr w:rsidR="001F6C7C" w14:paraId="45CCDBFC" w14:textId="77777777" w:rsidTr="001F6C7C">
        <w:tc>
          <w:tcPr>
            <w:tcW w:w="900" w:type="dxa"/>
          </w:tcPr>
          <w:p w14:paraId="5FE1A580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RNF-03</w:t>
            </w:r>
          </w:p>
        </w:tc>
        <w:tc>
          <w:tcPr>
            <w:tcW w:w="1900" w:type="dxa"/>
          </w:tcPr>
          <w:p w14:paraId="6E96FF7B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Fiabilidad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Madurez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31D405AC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generar alertas de vencimiento de productos de forma automática y oportuna.</w:t>
            </w:r>
          </w:p>
        </w:tc>
        <w:tc>
          <w:tcPr>
            <w:tcW w:w="3600" w:type="dxa"/>
          </w:tcPr>
          <w:p w14:paraId="2DEA7838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Cobertura del 100% de los productos registrados; alertas emitidas en los umbrales de 30, 15 y 7 días antes del vencimiento, con una latencia máxima de 24 horas.</w:t>
            </w:r>
          </w:p>
        </w:tc>
        <w:tc>
          <w:tcPr>
            <w:tcW w:w="1600" w:type="dxa"/>
          </w:tcPr>
          <w:p w14:paraId="1712C2EE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RC-05</w:t>
            </w:r>
          </w:p>
        </w:tc>
      </w:tr>
      <w:tr w:rsidR="001F6C7C" w14:paraId="2EE47ACE" w14:textId="77777777" w:rsidTr="001F6C7C">
        <w:tc>
          <w:tcPr>
            <w:tcW w:w="900" w:type="dxa"/>
          </w:tcPr>
          <w:p w14:paraId="5F201CE0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RNF-04</w:t>
            </w:r>
          </w:p>
        </w:tc>
        <w:tc>
          <w:tcPr>
            <w:tcW w:w="1900" w:type="dxa"/>
          </w:tcPr>
          <w:p w14:paraId="6E009E68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Fiabilidad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Disponibilidad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28C9DE3D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permitir el registro y consulta de historiales clínicos de forma local ante cortes de conectividad, sincronizando al restablecerse la conexión.</w:t>
            </w:r>
          </w:p>
        </w:tc>
        <w:tc>
          <w:tcPr>
            <w:tcW w:w="3600" w:type="dxa"/>
          </w:tcPr>
          <w:p w14:paraId="635F97B6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Disponibilidad de funciones críticas ≥ 99% del tiempo operativo; sincronización completa en ≤ 30 segundos tras reconectar.</w:t>
            </w:r>
          </w:p>
        </w:tc>
        <w:tc>
          <w:tcPr>
            <w:tcW w:w="1600" w:type="dxa"/>
          </w:tcPr>
          <w:p w14:paraId="654BFAE1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RC-21</w:t>
            </w:r>
          </w:p>
        </w:tc>
      </w:tr>
      <w:tr w:rsidR="001F6C7C" w14:paraId="649A8582" w14:textId="77777777" w:rsidTr="001F6C7C">
        <w:tc>
          <w:tcPr>
            <w:tcW w:w="900" w:type="dxa"/>
          </w:tcPr>
          <w:p w14:paraId="0E480E5A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RNF-05</w:t>
            </w:r>
          </w:p>
        </w:tc>
        <w:tc>
          <w:tcPr>
            <w:tcW w:w="1900" w:type="dxa"/>
          </w:tcPr>
          <w:p w14:paraId="7D5B3A2E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Seguridad (Control de acceso / Confidencialidad)</w:t>
            </w:r>
          </w:p>
        </w:tc>
        <w:tc>
          <w:tcPr>
            <w:tcW w:w="2800" w:type="dxa"/>
          </w:tcPr>
          <w:p w14:paraId="2FD3EC5A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restringir el acceso a la información según el perfil del usuario.</w:t>
            </w:r>
          </w:p>
        </w:tc>
        <w:tc>
          <w:tcPr>
            <w:tcW w:w="3600" w:type="dxa"/>
          </w:tcPr>
          <w:p w14:paraId="701EF310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100% de las operaciones sensibles requieren autenticación; al menos 2 perfiles diferenciados; bloqueo de cuenta tras 5 intentos fallidos.</w:t>
            </w:r>
          </w:p>
        </w:tc>
        <w:tc>
          <w:tcPr>
            <w:tcW w:w="1600" w:type="dxa"/>
          </w:tcPr>
          <w:p w14:paraId="6E5F99C1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RC-23</w:t>
            </w:r>
          </w:p>
        </w:tc>
      </w:tr>
      <w:tr w:rsidR="001F6C7C" w14:paraId="7800C4B5" w14:textId="77777777" w:rsidTr="001F6C7C">
        <w:tc>
          <w:tcPr>
            <w:tcW w:w="900" w:type="dxa"/>
          </w:tcPr>
          <w:p w14:paraId="1700CAEF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RNF-06</w:t>
            </w:r>
          </w:p>
        </w:tc>
        <w:tc>
          <w:tcPr>
            <w:tcW w:w="1900" w:type="dxa"/>
          </w:tcPr>
          <w:p w14:paraId="1475EC39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Seguridad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Trazabilidad</w:t>
            </w:r>
            <w:proofErr w:type="spellEnd"/>
            <w:r>
              <w:rPr>
                <w:color w:val="000000"/>
              </w:rPr>
              <w:t xml:space="preserve"> / No </w:t>
            </w:r>
            <w:proofErr w:type="spellStart"/>
            <w:r>
              <w:rPr>
                <w:color w:val="000000"/>
              </w:rPr>
              <w:t>repudio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0AF3FF6E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registrar todos los cambios realizados sobre los historiales clínicos.</w:t>
            </w:r>
          </w:p>
        </w:tc>
        <w:tc>
          <w:tcPr>
            <w:tcW w:w="3600" w:type="dxa"/>
          </w:tcPr>
          <w:p w14:paraId="4D9AE5B1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100% de las modificaciones quedan registradas (usuario, fecha y descripción), sin posibilidad de edición o eliminación retroactiva del registro de auditoría.</w:t>
            </w:r>
          </w:p>
        </w:tc>
        <w:tc>
          <w:tcPr>
            <w:tcW w:w="1600" w:type="dxa"/>
          </w:tcPr>
          <w:p w14:paraId="4A6AA31F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RC-24</w:t>
            </w:r>
          </w:p>
        </w:tc>
      </w:tr>
      <w:tr w:rsidR="001F6C7C" w14:paraId="12CB2647" w14:textId="77777777" w:rsidTr="001F6C7C">
        <w:tc>
          <w:tcPr>
            <w:tcW w:w="900" w:type="dxa"/>
          </w:tcPr>
          <w:p w14:paraId="50875BE6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RNF-07</w:t>
            </w:r>
          </w:p>
        </w:tc>
        <w:tc>
          <w:tcPr>
            <w:tcW w:w="1900" w:type="dxa"/>
          </w:tcPr>
          <w:p w14:paraId="73DD620A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Usabilidad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Capacidad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aprendizaje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0F071185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poder ser utilizado por personal con experiencia digital básica sin un proceso de formación prolongado.</w:t>
            </w:r>
          </w:p>
        </w:tc>
        <w:tc>
          <w:tcPr>
            <w:tcW w:w="3600" w:type="dxa"/>
          </w:tcPr>
          <w:p w14:paraId="1D37E6C6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Un usuario ejecuta las tareas principales tras una capacitación ≤ 2 horas, con una tasa de error ≤ 5% en sus primeras 10 ejecuciones.</w:t>
            </w:r>
          </w:p>
        </w:tc>
        <w:tc>
          <w:tcPr>
            <w:tcW w:w="1600" w:type="dxa"/>
          </w:tcPr>
          <w:p w14:paraId="049CEA0A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RC-20</w:t>
            </w:r>
          </w:p>
        </w:tc>
      </w:tr>
      <w:tr w:rsidR="001F6C7C" w14:paraId="2EE10D20" w14:textId="77777777" w:rsidTr="001F6C7C">
        <w:tc>
          <w:tcPr>
            <w:tcW w:w="900" w:type="dxa"/>
          </w:tcPr>
          <w:p w14:paraId="16881E74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RNF-08</w:t>
            </w:r>
          </w:p>
        </w:tc>
        <w:tc>
          <w:tcPr>
            <w:tcW w:w="1900" w:type="dxa"/>
          </w:tcPr>
          <w:p w14:paraId="7F050581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Compatibilidad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Coexistencia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operativa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Portabilidad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7EB11CFF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ser accesible y funcional desde múltiples dispositivos y plataformas.</w:t>
            </w:r>
          </w:p>
        </w:tc>
        <w:tc>
          <w:tcPr>
            <w:tcW w:w="3600" w:type="dxa"/>
          </w:tcPr>
          <w:p w14:paraId="6BB25BA5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Disponibilidad funcional completa en navegadores web actualizados y en Android 10+ / iOS 14+, con paridad de funciones ≥ 95% entre plataformas.</w:t>
            </w:r>
          </w:p>
        </w:tc>
        <w:tc>
          <w:tcPr>
            <w:tcW w:w="1600" w:type="dxa"/>
          </w:tcPr>
          <w:p w14:paraId="3472B045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RC-01</w:t>
            </w:r>
          </w:p>
        </w:tc>
      </w:tr>
      <w:tr w:rsidR="001F6C7C" w14:paraId="35AD9647" w14:textId="77777777" w:rsidTr="001F6C7C">
        <w:tc>
          <w:tcPr>
            <w:tcW w:w="900" w:type="dxa"/>
          </w:tcPr>
          <w:p w14:paraId="0AC15819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RNF-09</w:t>
            </w:r>
          </w:p>
        </w:tc>
        <w:tc>
          <w:tcPr>
            <w:tcW w:w="1900" w:type="dxa"/>
          </w:tcPr>
          <w:p w14:paraId="365D77E5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Fiabilidad / Adecuación funcional (Exactitud de la IA)</w:t>
            </w:r>
          </w:p>
        </w:tc>
        <w:tc>
          <w:tcPr>
            <w:tcW w:w="2800" w:type="dxa"/>
          </w:tcPr>
          <w:p w14:paraId="3ACD6A9A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Las sugerencias del módulo de IA deben estar respaldadas científicamente y ser revisables antes de su aplicación.</w:t>
            </w:r>
          </w:p>
        </w:tc>
        <w:tc>
          <w:tcPr>
            <w:tcW w:w="3600" w:type="dxa"/>
          </w:tcPr>
          <w:p w14:paraId="757F6AB0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100% de las sugerencias diagnósticas incluyen referencia bibliográfica y requieren aprobación explícita del veterinario; tiempo de generación ≤ 5 segundos.</w:t>
            </w:r>
          </w:p>
        </w:tc>
        <w:tc>
          <w:tcPr>
            <w:tcW w:w="1600" w:type="dxa"/>
          </w:tcPr>
          <w:p w14:paraId="342CCC7D" w14:textId="77777777" w:rsidR="001F6C7C" w:rsidRDefault="001F6C7C" w:rsidP="009747FD">
            <w:pPr>
              <w:jc w:val="both"/>
            </w:pPr>
            <w:r>
              <w:rPr>
                <w:color w:val="000000"/>
              </w:rPr>
              <w:t>RC-17, RC-18, RC-19</w:t>
            </w:r>
          </w:p>
        </w:tc>
      </w:tr>
      <w:tr w:rsidR="001F6C7C" w14:paraId="0ADF1FE5" w14:textId="77777777" w:rsidTr="001F6C7C">
        <w:tc>
          <w:tcPr>
            <w:tcW w:w="900" w:type="dxa"/>
          </w:tcPr>
          <w:p w14:paraId="5F6AE47A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RNF-10</w:t>
            </w:r>
          </w:p>
        </w:tc>
        <w:tc>
          <w:tcPr>
            <w:tcW w:w="1900" w:type="dxa"/>
          </w:tcPr>
          <w:p w14:paraId="22CC0F7D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Mantenibilidad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Modularidad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097AE8DC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Una falla del proveedor externo de IA (LLM) no debe afectar la disponibilidad de los módulos restantes del sistema.</w:t>
            </w:r>
          </w:p>
        </w:tc>
        <w:tc>
          <w:tcPr>
            <w:tcW w:w="3600" w:type="dxa"/>
          </w:tcPr>
          <w:p w14:paraId="4B43E71C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Disponibilidad de los módulos no dependientes de IA ≥ 99% incluso ante una caída total del servicio de IA externo.</w:t>
            </w:r>
          </w:p>
        </w:tc>
        <w:tc>
          <w:tcPr>
            <w:tcW w:w="1600" w:type="dxa"/>
          </w:tcPr>
          <w:p w14:paraId="0705F6F1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Sección</w:t>
            </w:r>
            <w:proofErr w:type="spellEnd"/>
            <w:r>
              <w:rPr>
                <w:color w:val="000000"/>
              </w:rPr>
              <w:t xml:space="preserve"> 2.5 (</w:t>
            </w:r>
            <w:proofErr w:type="spellStart"/>
            <w:r>
              <w:rPr>
                <w:color w:val="000000"/>
              </w:rPr>
              <w:t>Dependencias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F6C7C" w14:paraId="7617B0BA" w14:textId="77777777" w:rsidTr="001F6C7C">
        <w:tc>
          <w:tcPr>
            <w:tcW w:w="900" w:type="dxa"/>
          </w:tcPr>
          <w:p w14:paraId="2CD74B57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RNF-11</w:t>
            </w:r>
          </w:p>
        </w:tc>
        <w:tc>
          <w:tcPr>
            <w:tcW w:w="1900" w:type="dxa"/>
          </w:tcPr>
          <w:p w14:paraId="5A721674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Eficiencia de desempeño (Utilización de recursos)</w:t>
            </w:r>
          </w:p>
        </w:tc>
        <w:tc>
          <w:tcPr>
            <w:tcW w:w="2800" w:type="dxa"/>
          </w:tcPr>
          <w:p w14:paraId="65D455C7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operar dentro de límites razonables de consumo de recursos del servidor, incluso bajo carga concurrente del personal de la clínica.</w:t>
            </w:r>
          </w:p>
        </w:tc>
        <w:tc>
          <w:tcPr>
            <w:tcW w:w="3600" w:type="dxa"/>
          </w:tcPr>
          <w:p w14:paraId="1DEB93E1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 xml:space="preserve">Uso de CPU ≤ 70% y de memoria ≤ 75% del </w:t>
            </w:r>
            <w:proofErr w:type="spellStart"/>
            <w:r w:rsidRPr="001F6C7C">
              <w:rPr>
                <w:color w:val="000000"/>
                <w:lang w:val="es-MX"/>
              </w:rPr>
              <w:t>backend</w:t>
            </w:r>
            <w:proofErr w:type="spellEnd"/>
            <w:r w:rsidRPr="001F6C7C">
              <w:rPr>
                <w:color w:val="000000"/>
                <w:lang w:val="es-MX"/>
              </w:rPr>
              <w:t xml:space="preserve"> con hasta 20 usuarios concurrentes activos.</w:t>
            </w:r>
          </w:p>
        </w:tc>
        <w:tc>
          <w:tcPr>
            <w:tcW w:w="1600" w:type="dxa"/>
          </w:tcPr>
          <w:p w14:paraId="7194D762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Elaboración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propia</w:t>
            </w:r>
            <w:proofErr w:type="spellEnd"/>
          </w:p>
        </w:tc>
      </w:tr>
      <w:tr w:rsidR="001F6C7C" w14:paraId="0CC7FAC3" w14:textId="77777777" w:rsidTr="001F6C7C">
        <w:tc>
          <w:tcPr>
            <w:tcW w:w="900" w:type="dxa"/>
          </w:tcPr>
          <w:p w14:paraId="05E3BF98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RNF-12</w:t>
            </w:r>
          </w:p>
        </w:tc>
        <w:tc>
          <w:tcPr>
            <w:tcW w:w="1900" w:type="dxa"/>
          </w:tcPr>
          <w:p w14:paraId="0D39CC9D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Seguridad (Confidencialidad / Cifrado de datos)</w:t>
            </w:r>
          </w:p>
        </w:tc>
        <w:tc>
          <w:tcPr>
            <w:tcW w:w="2800" w:type="dxa"/>
          </w:tcPr>
          <w:p w14:paraId="7D6B64D2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 xml:space="preserve">La información sensible del sistema (historiales clínicos, datos de facturación, credenciales) debe protegerse frente a accesos no </w:t>
            </w:r>
            <w:r w:rsidRPr="001F6C7C">
              <w:rPr>
                <w:color w:val="000000"/>
                <w:lang w:val="es-MX"/>
              </w:rPr>
              <w:lastRenderedPageBreak/>
              <w:t>autorizados durante su transmisión y almacenamiento.</w:t>
            </w:r>
          </w:p>
        </w:tc>
        <w:tc>
          <w:tcPr>
            <w:tcW w:w="3600" w:type="dxa"/>
          </w:tcPr>
          <w:p w14:paraId="1C07B890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lastRenderedPageBreak/>
              <w:t xml:space="preserve">100% de los datos sensibles cifrados en tránsito (TLS 1.2 o superior) y en reposo (AES-256); contraseñas almacenadas únicamente mediante hash con </w:t>
            </w:r>
            <w:proofErr w:type="spellStart"/>
            <w:r w:rsidRPr="001F6C7C">
              <w:rPr>
                <w:color w:val="000000"/>
                <w:lang w:val="es-MX"/>
              </w:rPr>
              <w:t>salt</w:t>
            </w:r>
            <w:proofErr w:type="spellEnd"/>
            <w:r w:rsidRPr="001F6C7C">
              <w:rPr>
                <w:color w:val="000000"/>
                <w:lang w:val="es-MX"/>
              </w:rPr>
              <w:t>.</w:t>
            </w:r>
          </w:p>
        </w:tc>
        <w:tc>
          <w:tcPr>
            <w:tcW w:w="1600" w:type="dxa"/>
          </w:tcPr>
          <w:p w14:paraId="6F4031EB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Elaboración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propia</w:t>
            </w:r>
            <w:proofErr w:type="spellEnd"/>
          </w:p>
        </w:tc>
      </w:tr>
      <w:tr w:rsidR="001F6C7C" w14:paraId="7E6C36C5" w14:textId="77777777" w:rsidTr="001F6C7C">
        <w:tc>
          <w:tcPr>
            <w:tcW w:w="900" w:type="dxa"/>
          </w:tcPr>
          <w:p w14:paraId="6EEBBE03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RNF-13</w:t>
            </w:r>
          </w:p>
        </w:tc>
        <w:tc>
          <w:tcPr>
            <w:tcW w:w="1900" w:type="dxa"/>
          </w:tcPr>
          <w:p w14:paraId="64E57B9D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Fiabilidad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Recuperabilidad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52C4200F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permitir recuperar la información ante fallos de hardware, corrupción de datos o eliminaciones accidentales.</w:t>
            </w:r>
          </w:p>
        </w:tc>
        <w:tc>
          <w:tcPr>
            <w:tcW w:w="3600" w:type="dxa"/>
          </w:tcPr>
          <w:p w14:paraId="490EBA1D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Copias de seguridad automáticas diarias con retención mínima de 30 días; tiempo objetivo de recuperación (RTO) ≤ 4 horas y punto objetivo de recuperación (RPO) ≤ 24 horas.</w:t>
            </w:r>
          </w:p>
        </w:tc>
        <w:tc>
          <w:tcPr>
            <w:tcW w:w="1600" w:type="dxa"/>
          </w:tcPr>
          <w:p w14:paraId="5506BC22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Elaboración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propia</w:t>
            </w:r>
            <w:proofErr w:type="spellEnd"/>
          </w:p>
        </w:tc>
      </w:tr>
      <w:tr w:rsidR="001F6C7C" w14:paraId="3FFC731C" w14:textId="77777777" w:rsidTr="001F6C7C">
        <w:tc>
          <w:tcPr>
            <w:tcW w:w="900" w:type="dxa"/>
          </w:tcPr>
          <w:p w14:paraId="187E1C47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RNF-14</w:t>
            </w:r>
          </w:p>
        </w:tc>
        <w:tc>
          <w:tcPr>
            <w:tcW w:w="1900" w:type="dxa"/>
          </w:tcPr>
          <w:p w14:paraId="390F9B3F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Mantenibilidad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Capacidad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prueba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26C3965B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facilitar la verificación de su correcto funcionamiento ante cambios o nuevas versiones.</w:t>
            </w:r>
          </w:p>
        </w:tc>
        <w:tc>
          <w:tcPr>
            <w:tcW w:w="3600" w:type="dxa"/>
          </w:tcPr>
          <w:p w14:paraId="386BEC10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Cobertura de pruebas automatizadas ≥ 70% en los módulos críticos (historial clínico, facturación, IA); despliegue de una nueva versión en ≤ 30 minutos sin interrupción del servicio.</w:t>
            </w:r>
          </w:p>
        </w:tc>
        <w:tc>
          <w:tcPr>
            <w:tcW w:w="1600" w:type="dxa"/>
          </w:tcPr>
          <w:p w14:paraId="1F4BF4D6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Elaboración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propia</w:t>
            </w:r>
            <w:proofErr w:type="spellEnd"/>
          </w:p>
        </w:tc>
      </w:tr>
      <w:tr w:rsidR="001F6C7C" w14:paraId="41C1E31A" w14:textId="77777777" w:rsidTr="001F6C7C">
        <w:tc>
          <w:tcPr>
            <w:tcW w:w="900" w:type="dxa"/>
          </w:tcPr>
          <w:p w14:paraId="52D8C9F2" w14:textId="77777777" w:rsidR="001F6C7C" w:rsidRDefault="001F6C7C" w:rsidP="009747FD">
            <w:pPr>
              <w:jc w:val="both"/>
            </w:pPr>
            <w:r>
              <w:rPr>
                <w:b/>
                <w:bCs/>
                <w:color w:val="000000"/>
              </w:rPr>
              <w:t>RNF-15</w:t>
            </w:r>
          </w:p>
        </w:tc>
        <w:tc>
          <w:tcPr>
            <w:tcW w:w="1900" w:type="dxa"/>
          </w:tcPr>
          <w:p w14:paraId="61C81B69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Usabilidad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Satisfacción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usuario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</w:tcPr>
          <w:p w14:paraId="54D06475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>El sistema debe generar una experiencia de uso satisfactoria para el personal veterinario y administrativo.</w:t>
            </w:r>
          </w:p>
        </w:tc>
        <w:tc>
          <w:tcPr>
            <w:tcW w:w="3600" w:type="dxa"/>
          </w:tcPr>
          <w:p w14:paraId="59AACA1F" w14:textId="77777777" w:rsidR="001F6C7C" w:rsidRPr="001F6C7C" w:rsidRDefault="001F6C7C" w:rsidP="009747FD">
            <w:pPr>
              <w:jc w:val="both"/>
              <w:rPr>
                <w:lang w:val="es-MX"/>
              </w:rPr>
            </w:pPr>
            <w:r w:rsidRPr="001F6C7C">
              <w:rPr>
                <w:color w:val="000000"/>
                <w:lang w:val="es-MX"/>
              </w:rPr>
              <w:t xml:space="preserve">Nivel de satisfacción ≥ 80% medido mediante encuesta </w:t>
            </w:r>
            <w:proofErr w:type="spellStart"/>
            <w:r w:rsidRPr="001F6C7C">
              <w:rPr>
                <w:color w:val="000000"/>
                <w:lang w:val="es-MX"/>
              </w:rPr>
              <w:t>System</w:t>
            </w:r>
            <w:proofErr w:type="spellEnd"/>
            <w:r w:rsidRPr="001F6C7C">
              <w:rPr>
                <w:color w:val="000000"/>
                <w:lang w:val="es-MX"/>
              </w:rPr>
              <w:t xml:space="preserve"> </w:t>
            </w:r>
            <w:proofErr w:type="spellStart"/>
            <w:r w:rsidRPr="001F6C7C">
              <w:rPr>
                <w:color w:val="000000"/>
                <w:lang w:val="es-MX"/>
              </w:rPr>
              <w:t>Usability</w:t>
            </w:r>
            <w:proofErr w:type="spellEnd"/>
            <w:r w:rsidRPr="001F6C7C">
              <w:rPr>
                <w:color w:val="000000"/>
                <w:lang w:val="es-MX"/>
              </w:rPr>
              <w:t xml:space="preserve"> Scale (SUS) aplicada tras el primer mes de uso, sobre una muestra de al menos 5 usuarios activos.</w:t>
            </w:r>
          </w:p>
        </w:tc>
        <w:tc>
          <w:tcPr>
            <w:tcW w:w="1600" w:type="dxa"/>
          </w:tcPr>
          <w:p w14:paraId="0818FD81" w14:textId="77777777" w:rsidR="001F6C7C" w:rsidRDefault="001F6C7C" w:rsidP="009747FD">
            <w:pPr>
              <w:jc w:val="both"/>
            </w:pPr>
            <w:proofErr w:type="spellStart"/>
            <w:r>
              <w:rPr>
                <w:color w:val="000000"/>
              </w:rPr>
              <w:t>Elaboración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propia</w:t>
            </w:r>
            <w:proofErr w:type="spellEnd"/>
          </w:p>
        </w:tc>
      </w:tr>
    </w:tbl>
    <w:p w14:paraId="10EEADF6" w14:textId="77777777" w:rsidR="00627244" w:rsidRPr="001F6C7C" w:rsidRDefault="00627244">
      <w:pPr>
        <w:rPr>
          <w:lang w:val="es-MX"/>
        </w:rPr>
      </w:pPr>
    </w:p>
    <w:sectPr w:rsidR="00627244" w:rsidRPr="001F6C7C" w:rsidSect="001F6C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7C"/>
    <w:rsid w:val="001F6C7C"/>
    <w:rsid w:val="003000D5"/>
    <w:rsid w:val="006101B1"/>
    <w:rsid w:val="00627244"/>
    <w:rsid w:val="00790343"/>
    <w:rsid w:val="00CC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A1F5"/>
  <w15:chartTrackingRefBased/>
  <w15:docId w15:val="{5955986E-C1E7-4C7E-B24F-235CFBBA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C7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C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C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C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C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C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C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MARCILLO PONCE  ALBERTO JEANPOOL</dc:creator>
  <cp:keywords/>
  <dc:description/>
  <cp:lastModifiedBy>MARCILLO PONCE  ALBERTO JEANPOOL</cp:lastModifiedBy>
  <cp:revision>2</cp:revision>
  <dcterms:created xsi:type="dcterms:W3CDTF">2026-07-27T16:24:00Z</dcterms:created>
  <dcterms:modified xsi:type="dcterms:W3CDTF">2026-07-27T16:29:00Z</dcterms:modified>
</cp:coreProperties>
</file>