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 w:line="300" w:lineRule="auto"/>
        <w:jc w:val="left"/>
      </w:pPr>
      <w:r>
        <w:rPr>
          <w:b/>
          <w:bCs/>
          <w:sz w:val="32"/>
          <w:szCs w:val="32"/>
        </w:rPr>
        <w:t xml:space="preserve">Anexo – Definições e detalhes metodológicos</w:t>
      </w:r>
    </w:p>
    <w:p>
      <w:pPr>
        <w:spacing w:after="200" w:line="300" w:lineRule="auto"/>
        <w:jc w:val="both"/>
      </w:pPr>
      <w:r>
        <w:rPr>
          <w:sz w:val="22"/>
          <w:szCs w:val="22"/>
        </w:rPr>
        <w:t xml:space="preserve">Protocolo: </w:t>
      </w:r>
      <w:r>
        <w:rPr>
          <w:i/>
          <w:iCs/>
          <w:sz w:val="22"/>
          <w:szCs w:val="22"/>
        </w:rPr>
        <w:t xml:space="preserve">Consumo Habitual de Cafeína e o Risco de Doença de Parkinson: Protocolo de um Estudo Caso-Controlo nas ULSs de Santo António e São João</w:t>
      </w:r>
      <w:r>
        <w:rPr>
          <w:sz w:val="22"/>
          <w:szCs w:val="22"/>
        </w:rPr>
        <w:t xml:space="preserve">. Os números entre parênteses retos remetem para a lista de Referências do protocolo.</w:t>
      </w:r>
    </w:p>
    <w:p>
      <w:pPr>
        <w:keepNext/>
        <w:spacing w:before="360" w:after="120"/>
      </w:pPr>
      <w:r>
        <w:rPr>
          <w:b/>
          <w:bCs/>
          <w:sz w:val="28"/>
          <w:szCs w:val="28"/>
        </w:rPr>
        <w:t xml:space="preserve">A. Glossário</w:t>
      </w:r>
    </w:p>
    <w:p>
      <w:pPr>
        <w:keepNext/>
        <w:spacing w:before="120" w:after="120"/>
      </w:pPr>
      <w:r>
        <w:rPr>
          <w:b/>
          <w:bCs/>
          <w:sz w:val="24"/>
          <w:szCs w:val="24"/>
        </w:rPr>
        <w:t xml:space="preserve">Conceitos clínicos e biológicos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Doença de Parkinson (DP)</w:t>
      </w:r>
      <w:r>
        <w:rPr>
          <w:sz w:val="22"/>
          <w:szCs w:val="22"/>
        </w:rPr>
        <w:t xml:space="preserve"> – doença neurodegenerativa progressiva causada pela perda de neurónios dopaminérgicos da substância negra, que se manifesta por tremor de repouso, rigidez, bradicinesia e instabilidade postural [1].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Neurónios dopaminérgicos</w:t>
      </w:r>
      <w:r>
        <w:rPr>
          <w:sz w:val="22"/>
          <w:szCs w:val="22"/>
        </w:rPr>
        <w:t xml:space="preserve"> – neurónios que produzem dopamina; a sua perda no estriado explica os sintomas motores da DP [1].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Recetores de adenosina A~2A~</w:t>
      </w:r>
      <w:r>
        <w:rPr>
          <w:sz w:val="22"/>
          <w:szCs w:val="22"/>
        </w:rPr>
        <w:t xml:space="preserve"> – recetores muito expressos no estriado que modulam negativamente a sinalização dopaminérgica; a cafeína bloqueia-os (antagonista) [1,6].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Antagonista</w:t>
      </w:r>
      <w:r>
        <w:rPr>
          <w:sz w:val="22"/>
          <w:szCs w:val="22"/>
        </w:rPr>
        <w:t xml:space="preserve"> – substância que se liga a um recetor e impede a sua ativação pelo ligando natural.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Neuroinflamação</w:t>
      </w:r>
      <w:r>
        <w:rPr>
          <w:sz w:val="22"/>
          <w:szCs w:val="22"/>
        </w:rPr>
        <w:t xml:space="preserve"> – resposta inflamatória do sistema nervoso central (microglia, astrócitos) que contribui para a morte neuronal [7,8].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Excitotoxicidade</w:t>
      </w:r>
      <w:r>
        <w:rPr>
          <w:sz w:val="22"/>
          <w:szCs w:val="22"/>
        </w:rPr>
        <w:t xml:space="preserve"> – morte celular causada pela estimulação excessiva de recetores de glutamato, o principal neurotransmissor excitatório [7,8].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Fase prodrómica</w:t>
      </w:r>
      <w:r>
        <w:rPr>
          <w:sz w:val="22"/>
          <w:szCs w:val="22"/>
        </w:rPr>
        <w:t xml:space="preserve"> – período, que pode durar anos, em que a neurodegeneração já ocorre mas ainda não há sintomas motores que permitam o diagnóstico [1].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DP de início precoce</w:t>
      </w:r>
      <w:r>
        <w:rPr>
          <w:sz w:val="22"/>
          <w:szCs w:val="22"/>
        </w:rPr>
        <w:t xml:space="preserve"> – DP com início dos sintomas antes dos 50 anos, com maior proporção de formas monogénicas [2].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Parkinsonismo secundário</w:t>
      </w:r>
      <w:r>
        <w:rPr>
          <w:sz w:val="22"/>
          <w:szCs w:val="22"/>
        </w:rPr>
        <w:t xml:space="preserve"> – síndrome parkinsónica com causa identificável (fármacos, lesões vasculares, toxinas), distinta da DP idiopática.</w:t>
      </w:r>
    </w:p>
    <w:p>
      <w:pPr>
        <w:keepNext/>
        <w:spacing w:before="200" w:after="120"/>
      </w:pPr>
      <w:r>
        <w:rPr>
          <w:b/>
          <w:bCs/>
          <w:sz w:val="24"/>
          <w:szCs w:val="24"/>
        </w:rPr>
        <w:t xml:space="preserve">Conceitos epidemiológicos e estatísticos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Estudo caso-controlo</w:t>
      </w:r>
      <w:r>
        <w:rPr>
          <w:sz w:val="22"/>
          <w:szCs w:val="22"/>
        </w:rPr>
        <w:t xml:space="preserve"> – estudo observacional que parte do resultado (doentes = casos; não doentes = controlos) e compara a exposição prévia entre os grupos.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Emparelhamento 1:1</w:t>
      </w:r>
      <w:r>
        <w:rPr>
          <w:sz w:val="22"/>
          <w:szCs w:val="22"/>
        </w:rPr>
        <w:t xml:space="preserve"> – cada caso é associado a um controlo com características semelhantes (aqui, sexo e idade ±3 anos), para controlar essas variáveis pelo desenho.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Caso incidente</w:t>
      </w:r>
      <w:r>
        <w:rPr>
          <w:sz w:val="22"/>
          <w:szCs w:val="22"/>
        </w:rPr>
        <w:t xml:space="preserve"> – doente com diagnóstico recente (neste protocolo, há menos de 2 anos), por oposição a caso prevalente.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Odds ratio (OR)</w:t>
      </w:r>
      <w:r>
        <w:rPr>
          <w:sz w:val="22"/>
          <w:szCs w:val="22"/>
        </w:rPr>
        <w:t xml:space="preserve"> – razão entre a odds de exposição nos casos e nos controlos; OR &lt; 1 sugere associação protetora, OR &gt; 1 associação de risco.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Intervalo de confiança a 95% (IC 95%)</w:t>
      </w:r>
      <w:r>
        <w:rPr>
          <w:sz w:val="22"/>
          <w:szCs w:val="22"/>
        </w:rPr>
        <w:t xml:space="preserve"> – intervalo que, com 95% de confiança, contém o verdadeiro valor do parâmetro; se não incluir 1, a associação é estatisticamente significativa a 5%.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Regressão logística condicional</w:t>
      </w:r>
      <w:r>
        <w:rPr>
          <w:sz w:val="22"/>
          <w:szCs w:val="22"/>
        </w:rPr>
        <w:t xml:space="preserve"> – modelo de regressão logística que estima o OR comparando apenas dentro de cada par emparelhado; as variáveis de emparelhamento não são estimadas.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Fator de confusão</w:t>
      </w:r>
      <w:r>
        <w:rPr>
          <w:sz w:val="22"/>
          <w:szCs w:val="22"/>
        </w:rPr>
        <w:t xml:space="preserve"> – variável associada à exposição e ao resultado, sem estar no caminho causal, que pode distorcer a associação observada (p. ex., tabagismo) [3,4].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Modificação de efeito</w:t>
      </w:r>
      <w:r>
        <w:rPr>
          <w:sz w:val="22"/>
          <w:szCs w:val="22"/>
        </w:rPr>
        <w:t xml:space="preserve"> – situação em que a magnitude da associação difere entre subgrupos de uma terceira variável (p. ex., fumadores e não fumadores).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Relação dose-resposta</w:t>
      </w:r>
      <w:r>
        <w:rPr>
          <w:sz w:val="22"/>
          <w:szCs w:val="22"/>
        </w:rPr>
        <w:t xml:space="preserve"> – variação do risco consoante a quantidade de exposição; reforça a plausibilidade de uma relação causal.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Viés de memória</w:t>
      </w:r>
      <w:r>
        <w:rPr>
          <w:sz w:val="22"/>
          <w:szCs w:val="22"/>
        </w:rPr>
        <w:t xml:space="preserve"> – erro sistemático causado por diferenças na recordação da exposição passada entre casos e controlos.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Viés de seleção</w:t>
      </w:r>
      <w:r>
        <w:rPr>
          <w:sz w:val="22"/>
          <w:szCs w:val="22"/>
        </w:rPr>
        <w:t xml:space="preserve"> – erro sistemático resultante da forma como os participantes são selecionados, tornando os controlos não representativos da população de onde provêm os casos.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Causalidade reversa</w:t>
      </w:r>
      <w:r>
        <w:rPr>
          <w:sz w:val="22"/>
          <w:szCs w:val="22"/>
        </w:rPr>
        <w:t xml:space="preserve"> – quando é a doença (ou a sua fase prodrómica) que altera a exposição, e não o contrário [4,7].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Erro tipo I (α) e tipo II (β)</w:t>
      </w:r>
      <w:r>
        <w:rPr>
          <w:sz w:val="22"/>
          <w:szCs w:val="22"/>
        </w:rPr>
        <w:t xml:space="preserve"> – α é a probabilidade de rejeitar H</w:t>
      </w:r>
      <w:r>
        <w:rPr>
          <w:sz w:val="22"/>
          <w:szCs w:val="22"/>
          <w:vertAlign w:val="subscript"/>
        </w:rPr>
        <w:t xml:space="preserve">0</w:t>
      </w:r>
      <w:r>
        <w:rPr>
          <w:sz w:val="22"/>
          <w:szCs w:val="22"/>
        </w:rPr>
        <w:t xml:space="preserve"> sendo verdadeira; β a de não a rejeitar sendo falsa. O poder estatístico é 1 – β.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Unidades maço-ano</w:t>
      </w:r>
      <w:r>
        <w:rPr>
          <w:sz w:val="22"/>
          <w:szCs w:val="22"/>
        </w:rPr>
        <w:t xml:space="preserve"> – (cigarros por dia ÷ 20) × anos de consumo; mede a exposição tabágica acumulada.</w:t>
      </w:r>
    </w:p>
    <w:p>
      <w:pPr>
        <w:spacing w:after="100" w:line="300" w:lineRule="auto"/>
        <w:jc w:val="both"/>
      </w:pPr>
      <w:r>
        <w:rPr>
          <w:b/>
          <w:bCs/>
          <w:sz w:val="22"/>
          <w:szCs w:val="22"/>
        </w:rPr>
        <w:t xml:space="preserve">Pseudonimização</w:t>
      </w:r>
      <w:r>
        <w:rPr>
          <w:sz w:val="22"/>
          <w:szCs w:val="22"/>
        </w:rPr>
        <w:t xml:space="preserve"> – substituição dos identificadores por um código, mantendo-se uma chave de correspondência guardada separadamente; difere da anonimização, que é irreversível [18].</w:t>
      </w:r>
    </w:p>
    <w:p>
      <w:pPr>
        <w:keepNext/>
        <w:spacing w:before="360" w:after="120"/>
      </w:pPr>
      <w:r>
        <w:rPr>
          <w:b/>
          <w:bCs/>
          <w:sz w:val="28"/>
          <w:szCs w:val="28"/>
        </w:rPr>
        <w:t xml:space="preserve">B. Teores de cafeína utilizados na conversão</w:t>
      </w:r>
    </w:p>
    <w:p>
      <w:pPr>
        <w:spacing w:after="120" w:line="300" w:lineRule="auto"/>
        <w:jc w:val="both"/>
      </w:pPr>
      <w:r>
        <w:rPr>
          <w:sz w:val="22"/>
          <w:szCs w:val="22"/>
        </w:rPr>
        <w:t xml:space="preserve">Fatores fixos aplicados a todos os participantes; a variabilidade entre marcas e métodos de preparação não é considerada.</w:t>
      </w:r>
    </w:p>
    <w:tbl>
      <w:tblPr>
        <w:tblW w:w="902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000"/>
        <w:gridCol w:w="3800"/>
        <w:gridCol w:w="2229"/>
      </w:tblGrid>
      <w:tr>
        <w:tc>
          <w:tcPr>
            <w:tcW w:w="3000" w:type="dxa"/>
            <w:shd w:val="clear" w:color="auto" w:fill="E7E6E6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Bebida</w:t>
            </w:r>
          </w:p>
        </w:tc>
        <w:tc>
          <w:tcPr>
            <w:tcW w:w="3800" w:type="dxa"/>
            <w:shd w:val="clear" w:color="auto" w:fill="E7E6E6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Teor de cafeína assumido</w:t>
            </w:r>
          </w:p>
        </w:tc>
        <w:tc>
          <w:tcPr>
            <w:tcW w:w="2229" w:type="dxa"/>
            <w:shd w:val="clear" w:color="auto" w:fill="E7E6E6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Fonte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Café expresso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≈ 100 mg por dose</w:t>
            </w:r>
          </w:p>
        </w:tc>
        <w:tc>
          <w:tcPr>
            <w:tcW w:w="2229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[15,16]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Galão / café com leite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1 dose de expresso (≈ 100 mg)</w:t>
            </w:r>
          </w:p>
        </w:tc>
        <w:tc>
          <w:tcPr>
            <w:tcW w:w="2229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[15,16]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Café de filtro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≈ 130 mg por 240 mL</w:t>
            </w:r>
          </w:p>
        </w:tc>
        <w:tc>
          <w:tcPr>
            <w:tcW w:w="2229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[17]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Chá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≈ 50 mg por 240 mL</w:t>
            </w:r>
          </w:p>
        </w:tc>
        <w:tc>
          <w:tcPr>
            <w:tcW w:w="2229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[17]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Bebidas energéticas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≈ 72–80 mg por 240 mL</w:t>
            </w:r>
          </w:p>
        </w:tc>
        <w:tc>
          <w:tcPr>
            <w:tcW w:w="2229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[17]</w:t>
            </w:r>
          </w:p>
        </w:tc>
      </w:tr>
    </w:tbl>
    <w:p>
      <w:pPr>
        <w:spacing w:after="0" w:line="300" w:lineRule="auto"/>
        <w:jc w:val="both"/>
      </w:pPr>
    </w:p>
    <w:p>
      <w:pPr>
        <w:spacing w:after="120" w:line="300" w:lineRule="auto"/>
        <w:jc w:val="both"/>
      </w:pPr>
      <w:r>
        <w:rPr>
          <w:b/>
          <w:bCs/>
          <w:sz w:val="22"/>
          <w:szCs w:val="22"/>
        </w:rPr>
        <w:t xml:space="preserve">Valores de referência para Portugal (IAN-AF 2015-2016) [14]:</w:t>
      </w:r>
      <w:r>
        <w:rPr>
          <w:sz w:val="22"/>
          <w:szCs w:val="22"/>
        </w:rPr>
        <w:t xml:space="preserve"> consumo médio de café de 54,9 g/dia na população total (mediana 37,0 g/dia; P25–P75: 8,7–78,5) e de 73,8 g/dia entre consumidores, com consumo em 94,4% dos dias. Considerando cerca de 3 mg de cafeína por grama de expresso [15,16], estes valores correspondem a cerca de 165 e 220 mg de cafeína/dia, respetivamente.</w:t>
      </w:r>
    </w:p>
    <w:p>
      <w:pPr>
        <w:spacing w:after="120" w:line="300" w:lineRule="auto"/>
        <w:jc w:val="both"/>
      </w:pPr>
      <w:r>
        <w:rPr>
          <w:b/>
          <w:bCs/>
          <w:sz w:val="22"/>
          <w:szCs w:val="22"/>
        </w:rPr>
        <w:t xml:space="preserve">Categorias de exposição:</w:t>
      </w:r>
      <w:r>
        <w:rPr>
          <w:sz w:val="22"/>
          <w:szCs w:val="22"/>
        </w:rPr>
        <w:t xml:space="preserve"> consumo nulo ou baixo (&lt; 50 mg/dia; categoria de referência), moderado (50–199 mg/dia) e elevado (≥ 200 mg/dia).</w:t>
      </w:r>
    </w:p>
    <w:p>
      <w:pPr>
        <w:keepNext/>
        <w:spacing w:before="360" w:after="120"/>
      </w:pPr>
      <w:r>
        <w:rPr>
          <w:b/>
          <w:bCs/>
          <w:sz w:val="28"/>
          <w:szCs w:val="28"/>
        </w:rPr>
        <w:t xml:space="preserve">C. Cálculo do tamanho amostral</w:t>
      </w:r>
    </w:p>
    <w:p>
      <w:pPr>
        <w:spacing w:after="120" w:line="300" w:lineRule="auto"/>
        <w:jc w:val="both"/>
      </w:pPr>
      <w:r>
        <w:rPr>
          <w:sz w:val="22"/>
          <w:szCs w:val="22"/>
        </w:rPr>
        <w:t xml:space="preserve">Método de Dupont para estudos caso-controlo emparelhados [13], com um controlo por caso:</w:t>
      </w:r>
    </w:p>
    <w:tbl>
      <w:tblPr>
        <w:tblW w:w="902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5200"/>
        <w:gridCol w:w="3829"/>
      </w:tblGrid>
      <w:tr>
        <w:tc>
          <w:tcPr>
            <w:tcW w:w="5200" w:type="dxa"/>
            <w:shd w:val="clear" w:color="auto" w:fill="E7E6E6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Parâmetro</w:t>
            </w:r>
          </w:p>
        </w:tc>
        <w:tc>
          <w:tcPr>
            <w:tcW w:w="3829" w:type="dxa"/>
            <w:shd w:val="clear" w:color="auto" w:fill="E7E6E6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w="5200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Nível de significância (α, bicaudal)</w:t>
            </w:r>
          </w:p>
        </w:tc>
        <w:tc>
          <w:tcPr>
            <w:tcW w:w="3829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0,05 (z = 1,96)</w:t>
            </w:r>
          </w:p>
        </w:tc>
      </w:tr>
      <w:tr>
        <w:tc>
          <w:tcPr>
            <w:tcW w:w="5200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Poder (1 – β)</w:t>
            </w:r>
          </w:p>
        </w:tc>
        <w:tc>
          <w:tcPr>
            <w:tcW w:w="3829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0,80 (z = 0,84)</w:t>
            </w:r>
          </w:p>
        </w:tc>
      </w:tr>
      <w:tr>
        <w:tc>
          <w:tcPr>
            <w:tcW w:w="5200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OR a detetar</w:t>
            </w:r>
          </w:p>
        </w:tc>
        <w:tc>
          <w:tcPr>
            <w:tcW w:w="3829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0,75 (redução de 25%) [1,9]</w:t>
            </w:r>
          </w:p>
        </w:tc>
      </w:tr>
      <w:tr>
        <w:tc>
          <w:tcPr>
            <w:tcW w:w="5200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Prevalência de exposição nos controlos (p</w:t>
            </w:r>
            <w:r>
              <w:rPr>
                <w:sz w:val="22"/>
                <w:szCs w:val="22"/>
                <w:vertAlign w:val="subscript"/>
              </w:rPr>
              <w:t xml:space="preserve">0</w:t>
            </w:r>
            <w:r>
              <w:rPr>
                <w:sz w:val="22"/>
                <w:szCs w:val="22"/>
              </w:rPr>
              <w:t xml:space="preserve">)</w:t>
            </w:r>
          </w:p>
        </w:tc>
        <w:tc>
          <w:tcPr>
            <w:tcW w:w="3829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0,80 [14]</w:t>
            </w:r>
          </w:p>
        </w:tc>
      </w:tr>
      <w:tr>
        <w:tc>
          <w:tcPr>
            <w:tcW w:w="5200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Prevalência de exposição esperada nos casos (p</w:t>
            </w:r>
            <w:r>
              <w:rPr>
                <w:sz w:val="22"/>
                <w:szCs w:val="22"/>
                <w:vertAlign w:val="subscript"/>
              </w:rPr>
              <w:t xml:space="preserve">1</w:t>
            </w:r>
            <w:r>
              <w:rPr>
                <w:sz w:val="22"/>
                <w:szCs w:val="22"/>
              </w:rPr>
              <w:t xml:space="preserve">)</w:t>
            </w:r>
          </w:p>
        </w:tc>
        <w:tc>
          <w:tcPr>
            <w:tcW w:w="3829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OR·p</w:t>
            </w:r>
            <w:r>
              <w:rPr>
                <w:sz w:val="22"/>
                <w:szCs w:val="22"/>
                <w:vertAlign w:val="subscript"/>
              </w:rPr>
              <w:t xml:space="preserve">0</w:t>
            </w:r>
            <w:r>
              <w:rPr>
                <w:sz w:val="22"/>
                <w:szCs w:val="22"/>
              </w:rPr>
              <w:t xml:space="preserve"> / [1 + p</w:t>
            </w:r>
            <w:r>
              <w:rPr>
                <w:sz w:val="22"/>
                <w:szCs w:val="22"/>
                <w:vertAlign w:val="subscript"/>
              </w:rPr>
              <w:t xml:space="preserve">0</w:t>
            </w:r>
            <w:r>
              <w:rPr>
                <w:sz w:val="22"/>
                <w:szCs w:val="22"/>
              </w:rPr>
              <w:t xml:space="preserve">(OR – 1)] = 0,75</w:t>
            </w:r>
          </w:p>
        </w:tc>
      </w:tr>
      <w:tr>
        <w:tc>
          <w:tcPr>
            <w:tcW w:w="5200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Correlação da exposição entre pares (Φ)</w:t>
            </w:r>
          </w:p>
        </w:tc>
        <w:tc>
          <w:tcPr>
            <w:tcW w:w="3829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0,20</w:t>
            </w:r>
          </w:p>
        </w:tc>
      </w:tr>
      <w:tr>
        <w:tc>
          <w:tcPr>
            <w:tcW w:w="5200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Probabilidade de um par discordante</w:t>
            </w:r>
          </w:p>
        </w:tc>
        <w:tc>
          <w:tcPr>
            <w:tcW w:w="3829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≈ 0,281</w:t>
            </w:r>
          </w:p>
        </w:tc>
      </w:tr>
      <w:tr>
        <w:tc>
          <w:tcPr>
            <w:tcW w:w="5200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Pares discordantes necessários</w:t>
            </w:r>
          </w:p>
        </w:tc>
        <w:tc>
          <w:tcPr>
            <w:tcW w:w="3829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≈ 382</w:t>
            </w:r>
          </w:p>
        </w:tc>
      </w:tr>
      <w:tr>
        <w:tc>
          <w:tcPr>
            <w:tcW w:w="5200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Total de pares</w:t>
            </w:r>
          </w:p>
        </w:tc>
        <w:tc>
          <w:tcPr>
            <w:tcW w:w="3829" w:type="dxa"/>
          </w:tcPr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382 / 0,281 ≈ 1360 pares (2720 participantes)</w:t>
            </w:r>
          </w:p>
        </w:tc>
      </w:tr>
    </w:tbl>
    <w:p>
      <w:pPr>
        <w:spacing w:after="0" w:line="300" w:lineRule="auto"/>
        <w:jc w:val="both"/>
      </w:pPr>
    </w:p>
    <w:p>
      <w:pPr>
        <w:spacing w:after="120" w:line="300" w:lineRule="auto"/>
        <w:jc w:val="both"/>
      </w:pPr>
      <w:r>
        <w:rPr>
          <w:sz w:val="22"/>
          <w:szCs w:val="22"/>
        </w:rPr>
        <w:t xml:space="preserve">O número de pares discordantes é dado por m = [z</w:t>
      </w:r>
      <w:r>
        <w:rPr>
          <w:sz w:val="22"/>
          <w:szCs w:val="22"/>
          <w:vertAlign w:val="subscript"/>
        </w:rPr>
        <w:t xml:space="preserve">α/2</w:t>
      </w:r>
      <w:r>
        <w:rPr>
          <w:sz w:val="22"/>
          <w:szCs w:val="22"/>
        </w:rPr>
        <w:t xml:space="preserve">/2 + z</w:t>
      </w:r>
      <w:r>
        <w:rPr>
          <w:sz w:val="22"/>
          <w:szCs w:val="22"/>
          <w:vertAlign w:val="subscript"/>
        </w:rPr>
        <w:t xml:space="preserve">β</w:t>
      </w:r>
      <w:r>
        <w:rPr>
          <w:sz w:val="22"/>
          <w:szCs w:val="22"/>
        </w:rPr>
        <w:t xml:space="preserve">·√(P(1 – P))]² / (P – 1/2)², com P = OR/(1 + OR); o total de pares obtém-se dividindo m pela probabilidade de um par ser discordante, que depende de p</w:t>
      </w:r>
      <w:r>
        <w:rPr>
          <w:sz w:val="22"/>
          <w:szCs w:val="22"/>
          <w:vertAlign w:val="subscript"/>
        </w:rPr>
        <w:t xml:space="preserve">0</w:t>
      </w:r>
      <w:r>
        <w:rPr>
          <w:sz w:val="22"/>
          <w:szCs w:val="22"/>
        </w:rPr>
        <w:t xml:space="preserve">, p</w:t>
      </w:r>
      <w:r>
        <w:rPr>
          <w:sz w:val="22"/>
          <w:szCs w:val="22"/>
          <w:vertAlign w:val="subscript"/>
        </w:rPr>
        <w:t xml:space="preserve">1</w:t>
      </w:r>
      <w:r>
        <w:rPr>
          <w:sz w:val="22"/>
          <w:szCs w:val="22"/>
        </w:rPr>
        <w:t xml:space="preserve"> e Φ.</w:t>
      </w:r>
    </w:p>
    <w:p>
      <w:pPr>
        <w:keepNext/>
        <w:spacing w:before="360" w:after="120"/>
      </w:pPr>
      <w:r>
        <w:rPr>
          <w:b/>
          <w:bCs/>
          <w:sz w:val="28"/>
          <w:szCs w:val="28"/>
        </w:rPr>
        <w:t xml:space="preserve">D. Contexto epidemiológico em Portugal</w:t>
      </w:r>
    </w:p>
    <w:p>
      <w:pPr>
        <w:spacing w:after="120" w:line="300" w:lineRule="auto"/>
        <w:jc w:val="both"/>
      </w:pPr>
      <w:r>
        <w:rPr>
          <w:sz w:val="22"/>
          <w:szCs w:val="22"/>
        </w:rPr>
        <w:t xml:space="preserve">Mais de 4,6 milhões de residentes com 50 ou mais anos (Censos 2021) [11]. Prevalência ajustada de DP de 0,24% nos indivíduos com 50 ou mais anos, correspondendo a cerca de 180 casos por 100 000 habitantes [12].</w:t>
      </w:r>
    </w:p>
    <w:sectPr w:rsidR="00330E7E" w:rsidSect="00B079C9">
      <w:pgSz w:w="11909" w:h="16834"/>
      <w:pgMar w:top="1440" w:right="1440" w:bottom="1440" w:left="1440" w:header="454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B6D14" w14:textId="77777777" w:rsidR="000D66D7" w:rsidRDefault="000D66D7" w:rsidP="00DB7556">
      <w:pPr>
        <w:spacing w:line="240" w:lineRule="auto"/>
      </w:pPr>
      <w:r>
        <w:separator/>
      </w:r>
    </w:p>
  </w:endnote>
  <w:endnote w:type="continuationSeparator" w:id="0">
    <w:p w14:paraId="620FB65A" w14:textId="77777777" w:rsidR="000D66D7" w:rsidRDefault="000D66D7" w:rsidP="00DB75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896528B6-342F-40A9-B609-A42FE49A026E}"/>
    <w:embedBold r:id="rId2" w:fontKey="{21E718D8-067C-4F9A-86ED-B76A9B22E0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752E40-2817-4D75-9DB3-024F39D5D12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F4B51B3-4A4C-4607-8910-F98A51C25E4F}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5" w:fontKey="{49074958-AC27-42A8-BCC9-38F60D0332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B58039A-1191-4802-AB81-9C484E4920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368A" w14:textId="77777777" w:rsidR="004D7A69" w:rsidRDefault="004D7A69" w:rsidP="004D7A69">
    <w:pPr>
      <w:pStyle w:val="Rodap"/>
      <w:pBdr>
        <w:top w:val="single" w:sz="4" w:space="1" w:color="auto"/>
      </w:pBdr>
    </w:pPr>
  </w:p>
  <w:p w14:paraId="03BD9320" w14:textId="7280EF96" w:rsidR="00B079C9" w:rsidRDefault="00B079C9" w:rsidP="004D7A69">
    <w:pPr>
      <w:pStyle w:val="Rodap"/>
      <w:pBdr>
        <w:top w:val="single" w:sz="4" w:space="1" w:color="auto"/>
      </w:pBdr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ptab w:relativeTo="margin" w:alignment="center" w:leader="none"/>
    </w:r>
    <w:r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7E729" w14:textId="77777777" w:rsidR="004D7A69" w:rsidRDefault="004D7A69" w:rsidP="004D7A69">
    <w:pPr>
      <w:pStyle w:val="Rodap"/>
      <w:pBdr>
        <w:top w:val="single" w:sz="4" w:space="1" w:color="auto"/>
      </w:pBdr>
    </w:pPr>
  </w:p>
  <w:p w14:paraId="382C85AE" w14:textId="205D3F73" w:rsidR="00B079C9" w:rsidRDefault="00B079C9" w:rsidP="004D7A69">
    <w:pPr>
      <w:pStyle w:val="Rodap"/>
      <w:pBdr>
        <w:top w:val="single" w:sz="4" w:space="1" w:color="auto"/>
      </w:pBdr>
    </w:pPr>
    <w:r>
      <w:ptab w:relativeTo="margin" w:alignment="center" w:leader="none"/>
    </w:r>
    <w:r>
      <w:ptab w:relativeTo="margin" w:alignment="right" w:leader="none"/>
    </w: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80E8F" w14:textId="70634F8D" w:rsidR="00B079C9" w:rsidRDefault="00B079C9" w:rsidP="00B079C9">
    <w:pPr>
      <w:pStyle w:val="Rodap"/>
      <w:pBdr>
        <w:top w:val="single" w:sz="4" w:space="1" w:color="auto"/>
      </w:pBdr>
    </w:pPr>
  </w:p>
  <w:p w14:paraId="111D88F5" w14:textId="1C9F107B" w:rsidR="00B079C9" w:rsidRPr="003E59E1" w:rsidRDefault="00B079C9" w:rsidP="00B079C9">
    <w:pPr>
      <w:pStyle w:val="Rodap"/>
      <w:pBdr>
        <w:top w:val="single" w:sz="4" w:space="1" w:color="auto"/>
      </w:pBdr>
      <w:rPr>
        <w:rFonts w:ascii="Arial Narrow" w:hAnsi="Arial Narrow"/>
      </w:rPr>
    </w:pPr>
    <w:r w:rsidRPr="003E59E1">
      <w:rPr>
        <w:rFonts w:ascii="Arial Narrow" w:hAnsi="Arial Narrow"/>
      </w:rPr>
      <w:ptab w:relativeTo="margin" w:alignment="center" w:leader="none"/>
    </w:r>
    <w:r w:rsidRPr="003E59E1">
      <w:rPr>
        <w:rFonts w:ascii="Arial Narrow" w:hAnsi="Arial Narrow"/>
      </w:rPr>
      <w:t>Porto, 2026</w:t>
    </w:r>
    <w:r w:rsidRPr="003E59E1">
      <w:rPr>
        <w:rFonts w:ascii="Arial Narrow" w:hAnsi="Arial Narrow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FF5AB" w14:textId="77777777" w:rsidR="000D66D7" w:rsidRDefault="000D66D7" w:rsidP="00DB7556">
      <w:pPr>
        <w:spacing w:line="240" w:lineRule="auto"/>
      </w:pPr>
      <w:r>
        <w:separator/>
      </w:r>
    </w:p>
  </w:footnote>
  <w:footnote w:type="continuationSeparator" w:id="0">
    <w:p w14:paraId="5356030D" w14:textId="77777777" w:rsidR="000D66D7" w:rsidRDefault="000D66D7" w:rsidP="00DB75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55DB4"/>
    <w:multiLevelType w:val="multilevel"/>
    <w:tmpl w:val="53F2BF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36678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autoHyphenation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B4B"/>
    <w:rsid w:val="00001633"/>
    <w:rsid w:val="00004AB2"/>
    <w:rsid w:val="000B7658"/>
    <w:rsid w:val="000C27A7"/>
    <w:rsid w:val="000D66D7"/>
    <w:rsid w:val="000E0240"/>
    <w:rsid w:val="000E1340"/>
    <w:rsid w:val="000E1CD5"/>
    <w:rsid w:val="000E2DDA"/>
    <w:rsid w:val="000F766A"/>
    <w:rsid w:val="0010069A"/>
    <w:rsid w:val="0011038D"/>
    <w:rsid w:val="0011232A"/>
    <w:rsid w:val="00113FDC"/>
    <w:rsid w:val="0013199C"/>
    <w:rsid w:val="001402D5"/>
    <w:rsid w:val="001E3760"/>
    <w:rsid w:val="0021490F"/>
    <w:rsid w:val="00225DC9"/>
    <w:rsid w:val="00226E80"/>
    <w:rsid w:val="00234B67"/>
    <w:rsid w:val="00260A59"/>
    <w:rsid w:val="00261E8A"/>
    <w:rsid w:val="0026330D"/>
    <w:rsid w:val="00273F2F"/>
    <w:rsid w:val="002D5992"/>
    <w:rsid w:val="002F798F"/>
    <w:rsid w:val="0033054B"/>
    <w:rsid w:val="003309FC"/>
    <w:rsid w:val="00330E7E"/>
    <w:rsid w:val="00353C6E"/>
    <w:rsid w:val="003737A2"/>
    <w:rsid w:val="00375BD5"/>
    <w:rsid w:val="00381138"/>
    <w:rsid w:val="00385D67"/>
    <w:rsid w:val="003B5A03"/>
    <w:rsid w:val="003E59E1"/>
    <w:rsid w:val="003F49C5"/>
    <w:rsid w:val="00404BD6"/>
    <w:rsid w:val="00446E16"/>
    <w:rsid w:val="00456DA6"/>
    <w:rsid w:val="00461B4B"/>
    <w:rsid w:val="0049328A"/>
    <w:rsid w:val="00496146"/>
    <w:rsid w:val="004A3449"/>
    <w:rsid w:val="004D4EF8"/>
    <w:rsid w:val="004D7A69"/>
    <w:rsid w:val="004E31FC"/>
    <w:rsid w:val="005032E9"/>
    <w:rsid w:val="005477B8"/>
    <w:rsid w:val="00572442"/>
    <w:rsid w:val="0058206E"/>
    <w:rsid w:val="005A2B29"/>
    <w:rsid w:val="005A3BD8"/>
    <w:rsid w:val="005B32AB"/>
    <w:rsid w:val="005B3BEC"/>
    <w:rsid w:val="006452F9"/>
    <w:rsid w:val="0064732C"/>
    <w:rsid w:val="00653156"/>
    <w:rsid w:val="00655065"/>
    <w:rsid w:val="00677B54"/>
    <w:rsid w:val="00694A24"/>
    <w:rsid w:val="006A562D"/>
    <w:rsid w:val="006A7B40"/>
    <w:rsid w:val="006C2E65"/>
    <w:rsid w:val="006F33C0"/>
    <w:rsid w:val="0070260C"/>
    <w:rsid w:val="0070476D"/>
    <w:rsid w:val="007333FE"/>
    <w:rsid w:val="007436C0"/>
    <w:rsid w:val="00752769"/>
    <w:rsid w:val="0075585A"/>
    <w:rsid w:val="007A206E"/>
    <w:rsid w:val="007A2ADF"/>
    <w:rsid w:val="007A610C"/>
    <w:rsid w:val="007B3E01"/>
    <w:rsid w:val="007C4FE1"/>
    <w:rsid w:val="007E6AB3"/>
    <w:rsid w:val="008226E9"/>
    <w:rsid w:val="008272A6"/>
    <w:rsid w:val="00832230"/>
    <w:rsid w:val="0084500D"/>
    <w:rsid w:val="00850FDB"/>
    <w:rsid w:val="008612D7"/>
    <w:rsid w:val="00885A7D"/>
    <w:rsid w:val="0089459B"/>
    <w:rsid w:val="00896530"/>
    <w:rsid w:val="008B57EA"/>
    <w:rsid w:val="008D4964"/>
    <w:rsid w:val="008E4D06"/>
    <w:rsid w:val="008F562F"/>
    <w:rsid w:val="008F6F4C"/>
    <w:rsid w:val="0090202C"/>
    <w:rsid w:val="009076A2"/>
    <w:rsid w:val="00920D3C"/>
    <w:rsid w:val="00927263"/>
    <w:rsid w:val="009535AB"/>
    <w:rsid w:val="009577E2"/>
    <w:rsid w:val="00975787"/>
    <w:rsid w:val="009A08F8"/>
    <w:rsid w:val="009D4626"/>
    <w:rsid w:val="009E606B"/>
    <w:rsid w:val="009F1ECD"/>
    <w:rsid w:val="009F57FA"/>
    <w:rsid w:val="00A12399"/>
    <w:rsid w:val="00A26B9E"/>
    <w:rsid w:val="00A71AD0"/>
    <w:rsid w:val="00A95D99"/>
    <w:rsid w:val="00AC3AF2"/>
    <w:rsid w:val="00AD75F0"/>
    <w:rsid w:val="00B03838"/>
    <w:rsid w:val="00B0414A"/>
    <w:rsid w:val="00B079C9"/>
    <w:rsid w:val="00B12B35"/>
    <w:rsid w:val="00B13FF0"/>
    <w:rsid w:val="00B44B3C"/>
    <w:rsid w:val="00B80DAA"/>
    <w:rsid w:val="00B850CD"/>
    <w:rsid w:val="00C90ED3"/>
    <w:rsid w:val="00C9538D"/>
    <w:rsid w:val="00CA1AF8"/>
    <w:rsid w:val="00CA4858"/>
    <w:rsid w:val="00CB53FE"/>
    <w:rsid w:val="00CD7E94"/>
    <w:rsid w:val="00CE16FF"/>
    <w:rsid w:val="00CE17E0"/>
    <w:rsid w:val="00CE595B"/>
    <w:rsid w:val="00D1550C"/>
    <w:rsid w:val="00D36688"/>
    <w:rsid w:val="00D75981"/>
    <w:rsid w:val="00D85810"/>
    <w:rsid w:val="00D9712B"/>
    <w:rsid w:val="00DB7556"/>
    <w:rsid w:val="00DC55C3"/>
    <w:rsid w:val="00DF571F"/>
    <w:rsid w:val="00E40C14"/>
    <w:rsid w:val="00E565AA"/>
    <w:rsid w:val="00E63F1B"/>
    <w:rsid w:val="00E710D4"/>
    <w:rsid w:val="00E805A7"/>
    <w:rsid w:val="00E81F83"/>
    <w:rsid w:val="00E82CD3"/>
    <w:rsid w:val="00E832D9"/>
    <w:rsid w:val="00E9219F"/>
    <w:rsid w:val="00E92EBF"/>
    <w:rsid w:val="00ED18B9"/>
    <w:rsid w:val="00EF4A49"/>
    <w:rsid w:val="00EF5BEE"/>
    <w:rsid w:val="00F40868"/>
    <w:rsid w:val="00F800CD"/>
    <w:rsid w:val="00FC778D"/>
    <w:rsid w:val="00FE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D4491"/>
  <w15:docId w15:val="{3119C08F-7FA1-42B7-BC0E-80CBFE9F9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DB7556"/>
    <w:pPr>
      <w:spacing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DB7556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DB7556"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DB7556"/>
    <w:pPr>
      <w:spacing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DB7556"/>
    <w:rPr>
      <w:sz w:val="20"/>
      <w:szCs w:val="20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DB7556"/>
    <w:rPr>
      <w:vertAlign w:val="superscript"/>
    </w:rPr>
  </w:style>
  <w:style w:type="paragraph" w:styleId="Bibliografia">
    <w:name w:val="Bibliography"/>
    <w:basedOn w:val="Normal"/>
    <w:next w:val="Normal"/>
    <w:uiPriority w:val="37"/>
    <w:unhideWhenUsed/>
    <w:rsid w:val="00330E7E"/>
    <w:pPr>
      <w:tabs>
        <w:tab w:val="left" w:pos="264"/>
      </w:tabs>
      <w:spacing w:after="240" w:line="240" w:lineRule="auto"/>
      <w:ind w:left="264" w:hanging="264"/>
    </w:pPr>
  </w:style>
  <w:style w:type="paragraph" w:styleId="Cabealho">
    <w:name w:val="header"/>
    <w:basedOn w:val="Normal"/>
    <w:link w:val="CabealhoCarter"/>
    <w:uiPriority w:val="99"/>
    <w:unhideWhenUsed/>
    <w:rsid w:val="00B079C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079C9"/>
  </w:style>
  <w:style w:type="paragraph" w:styleId="Rodap">
    <w:name w:val="footer"/>
    <w:basedOn w:val="Normal"/>
    <w:link w:val="RodapCarter"/>
    <w:uiPriority w:val="99"/>
    <w:unhideWhenUsed/>
    <w:rsid w:val="00B079C9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07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BD3210-1AA2-4DD5-AC65-423B24DA4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1931</TotalTime>
  <Pages>9</Pages>
  <Words>18817</Words>
  <Characters>101615</Characters>
  <Application>Microsoft Office Word</Application>
  <DocSecurity>0</DocSecurity>
  <Lines>846</Lines>
  <Paragraphs>240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Miguel Moreira Pereira Afonso</cp:lastModifiedBy>
  <cp:revision>129</cp:revision>
  <dcterms:created xsi:type="dcterms:W3CDTF">2026-10-02T22:39:00Z</dcterms:created>
  <dcterms:modified xsi:type="dcterms:W3CDTF">2026-10-13T18:53:00Z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zotero-version="10.0.6"&gt;&lt;session id="zjiz0kW8"/&gt;&lt;style id="http://www.zotero.org/styles/nlm-citation-sequence-brackets" locale="pt-PT" hasBibliography="1" bibliographyStyleHasBeenSet="1"/&gt;&lt;prefs&gt;&lt;pref name="fieldType" value="Field"/</vt:lpwstr>
  </property>
  <property fmtid="{D5CDD505-2E9C-101B-9397-08002B2CF9AE}" pid="3" name="ZOTERO_PREF_2">
    <vt:lpwstr>&gt;&lt;/prefs&gt;&lt;/data&gt;</vt:lpwstr>
  </property>
</Properties>
</file>