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AE3B9" w14:textId="77777777" w:rsidR="00461B4B" w:rsidRDefault="00000000" w:rsidP="00DB7556">
      <w:pPr>
        <w:spacing w:line="240" w:lineRule="auto"/>
        <w:ind w:left="720" w:hanging="720"/>
        <w:jc w:val="center"/>
        <w:rPr>
          <w:rFonts w:ascii="Arial Narrow" w:eastAsia="Arial Narrow" w:hAnsi="Arial Narrow" w:cs="Arial Narrow"/>
        </w:rPr>
      </w:pPr>
      <w:r>
        <w:rPr>
          <w:rFonts w:ascii="Calibri" w:eastAsia="Calibri" w:hAnsi="Calibri" w:cs="Calibri"/>
          <w:noProof/>
        </w:rPr>
        <w:drawing>
          <wp:inline distT="0" distB="0" distL="0" distR="0" wp14:anchorId="461CD16F" wp14:editId="5A9B64F7">
            <wp:extent cx="3336959" cy="108591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336959" cy="1085910"/>
                    </a:xfrm>
                    <a:prstGeom prst="rect">
                      <a:avLst/>
                    </a:prstGeom>
                    <a:ln/>
                  </pic:spPr>
                </pic:pic>
              </a:graphicData>
            </a:graphic>
          </wp:inline>
        </w:drawing>
      </w:r>
    </w:p>
    <w:p w14:paraId="7D6F1E33" w14:textId="77777777" w:rsidR="00461B4B" w:rsidRDefault="00461B4B">
      <w:pPr>
        <w:spacing w:line="360" w:lineRule="auto"/>
        <w:jc w:val="center"/>
        <w:rPr>
          <w:rFonts w:ascii="Arial Narrow" w:eastAsia="Arial Narrow" w:hAnsi="Arial Narrow" w:cs="Arial Narrow"/>
        </w:rPr>
      </w:pPr>
    </w:p>
    <w:p w14:paraId="2AE67D3F" w14:textId="77777777" w:rsidR="00461B4B" w:rsidRDefault="00461B4B">
      <w:pPr>
        <w:spacing w:line="360" w:lineRule="auto"/>
        <w:jc w:val="center"/>
        <w:rPr>
          <w:rFonts w:ascii="Arial Narrow" w:eastAsia="Arial Narrow" w:hAnsi="Arial Narrow" w:cs="Arial Narrow"/>
        </w:rPr>
      </w:pPr>
    </w:p>
    <w:p w14:paraId="675F90F5" w14:textId="77777777" w:rsidR="00461B4B" w:rsidRDefault="00000000">
      <w:pPr>
        <w:spacing w:after="120"/>
        <w:jc w:val="center"/>
        <w:rPr>
          <w:rFonts w:ascii="Arial Narrow" w:eastAsia="Arial Narrow" w:hAnsi="Arial Narrow" w:cs="Arial Narrow"/>
          <w:sz w:val="32"/>
          <w:szCs w:val="32"/>
        </w:rPr>
      </w:pPr>
      <w:r>
        <w:rPr>
          <w:rFonts w:ascii="Arial Narrow" w:eastAsia="Arial Narrow" w:hAnsi="Arial Narrow" w:cs="Arial Narrow"/>
          <w:sz w:val="32"/>
          <w:szCs w:val="32"/>
        </w:rPr>
        <w:t>Licenciatura em</w:t>
      </w:r>
    </w:p>
    <w:p w14:paraId="5848F440" w14:textId="77777777" w:rsidR="00461B4B" w:rsidRDefault="00000000">
      <w:pPr>
        <w:jc w:val="center"/>
        <w:rPr>
          <w:rFonts w:ascii="Arial Narrow" w:eastAsia="Arial Narrow" w:hAnsi="Arial Narrow" w:cs="Arial Narrow"/>
          <w:b/>
          <w:bCs/>
          <w:sz w:val="32"/>
          <w:szCs w:val="32"/>
        </w:rPr>
      </w:pPr>
      <w:r>
        <w:rPr>
          <w:rFonts w:ascii="Arial Narrow" w:eastAsia="Arial Narrow" w:hAnsi="Arial Narrow" w:cs="Arial Narrow"/>
          <w:b/>
          <w:bCs/>
          <w:sz w:val="32"/>
          <w:szCs w:val="32"/>
        </w:rPr>
        <w:t>Bioinformática</w:t>
      </w:r>
    </w:p>
    <w:p w14:paraId="01CF0EA6" w14:textId="77777777" w:rsidR="00461B4B" w:rsidRDefault="00461B4B">
      <w:pPr>
        <w:spacing w:after="240" w:line="360" w:lineRule="auto"/>
        <w:rPr>
          <w:rFonts w:ascii="Arial Narrow" w:eastAsia="Arial Narrow" w:hAnsi="Arial Narrow" w:cs="Arial Narrow"/>
        </w:rPr>
      </w:pPr>
    </w:p>
    <w:p w14:paraId="7F71B025" w14:textId="77777777" w:rsidR="00461B4B" w:rsidRDefault="00000000">
      <w:pPr>
        <w:spacing w:after="120" w:line="240" w:lineRule="auto"/>
        <w:jc w:val="center"/>
        <w:rPr>
          <w:rFonts w:ascii="Arial Narrow" w:eastAsia="Arial Narrow" w:hAnsi="Arial Narrow" w:cs="Arial Narrow"/>
          <w:b/>
          <w:bCs/>
          <w:sz w:val="40"/>
          <w:szCs w:val="40"/>
        </w:rPr>
      </w:pPr>
      <w:r>
        <w:rPr>
          <w:rFonts w:ascii="Arial Narrow" w:eastAsia="Arial Narrow" w:hAnsi="Arial Narrow" w:cs="Arial Narrow"/>
          <w:b/>
          <w:bCs/>
          <w:sz w:val="40"/>
          <w:szCs w:val="40"/>
        </w:rPr>
        <w:t>Unidade Curricular de Epidemiologia</w:t>
      </w:r>
    </w:p>
    <w:p w14:paraId="477F8456" w14:textId="77777777" w:rsidR="00461B4B" w:rsidRDefault="00000000">
      <w:pPr>
        <w:spacing w:line="240" w:lineRule="auto"/>
        <w:jc w:val="center"/>
        <w:rPr>
          <w:rFonts w:ascii="Arial Narrow" w:eastAsia="Arial Narrow" w:hAnsi="Arial Narrow" w:cs="Arial Narrow"/>
          <w:sz w:val="28"/>
          <w:szCs w:val="28"/>
        </w:rPr>
      </w:pPr>
      <w:r>
        <w:rPr>
          <w:rFonts w:ascii="Arial Narrow" w:eastAsia="Arial Narrow" w:hAnsi="Arial Narrow" w:cs="Arial Narrow"/>
          <w:sz w:val="28"/>
          <w:szCs w:val="28"/>
        </w:rPr>
        <w:t>3.º ano ◦ 2026/2027</w:t>
      </w:r>
    </w:p>
    <w:p w14:paraId="0204C29E" w14:textId="77777777" w:rsidR="00461B4B" w:rsidRDefault="00461B4B">
      <w:pPr>
        <w:spacing w:after="600" w:line="360" w:lineRule="auto"/>
        <w:rPr>
          <w:rFonts w:ascii="Arial Narrow" w:eastAsia="Arial Narrow" w:hAnsi="Arial Narrow" w:cs="Arial Narrow"/>
        </w:rPr>
      </w:pPr>
    </w:p>
    <w:p w14:paraId="0BAAE60B" w14:textId="77777777" w:rsidR="00461B4B" w:rsidRDefault="00000000">
      <w:pPr>
        <w:pBdr>
          <w:bottom w:val="single" w:sz="36" w:space="1" w:color="595959"/>
        </w:pBdr>
        <w:ind w:left="2268"/>
        <w:jc w:val="both"/>
        <w:rPr>
          <w:rFonts w:ascii="Arial Narrow" w:eastAsia="Arial Narrow" w:hAnsi="Arial Narrow" w:cs="Arial Narrow"/>
          <w:sz w:val="40"/>
          <w:szCs w:val="40"/>
        </w:rPr>
      </w:pPr>
      <w:r>
        <w:rPr>
          <w:rFonts w:ascii="Arial Narrow" w:eastAsia="Arial Narrow" w:hAnsi="Arial Narrow" w:cs="Arial Narrow"/>
          <w:sz w:val="40"/>
          <w:szCs w:val="40"/>
        </w:rPr>
        <w:t>Protocolo de Investigação Epidemiológica</w:t>
      </w:r>
    </w:p>
    <w:p w14:paraId="3647E1C8" w14:textId="77777777" w:rsidR="00461B4B" w:rsidRDefault="00461B4B">
      <w:pPr>
        <w:spacing w:line="360" w:lineRule="auto"/>
        <w:ind w:left="2268"/>
        <w:jc w:val="both"/>
        <w:rPr>
          <w:rFonts w:ascii="Arial Narrow" w:eastAsia="Arial Narrow" w:hAnsi="Arial Narrow" w:cs="Arial Narrow"/>
        </w:rPr>
      </w:pPr>
    </w:p>
    <w:p w14:paraId="7EAD7F73" w14:textId="77777777" w:rsidR="00461B4B" w:rsidRDefault="00000000">
      <w:pPr>
        <w:ind w:left="2268"/>
        <w:jc w:val="both"/>
        <w:rPr>
          <w:rFonts w:ascii="Arial Narrow" w:eastAsia="Arial Narrow" w:hAnsi="Arial Narrow" w:cs="Arial Narrow"/>
          <w:b/>
          <w:bCs/>
          <w:sz w:val="32"/>
          <w:szCs w:val="32"/>
        </w:rPr>
      </w:pPr>
      <w:r>
        <w:rPr>
          <w:rFonts w:ascii="Arial Narrow" w:eastAsia="Arial Narrow" w:hAnsi="Arial Narrow" w:cs="Arial Narrow"/>
          <w:b/>
          <w:bCs/>
          <w:sz w:val="32"/>
          <w:szCs w:val="32"/>
        </w:rPr>
        <w:t xml:space="preserve">Consumo Habitual de Cafeína e o Risco de Doença de Parkinson: Protocolo de um Estudo Caso-Controlo nas </w:t>
      </w:r>
      <w:proofErr w:type="spellStart"/>
      <w:r>
        <w:rPr>
          <w:rFonts w:ascii="Arial Narrow" w:eastAsia="Arial Narrow" w:hAnsi="Arial Narrow" w:cs="Arial Narrow"/>
          <w:b/>
          <w:bCs/>
          <w:sz w:val="32"/>
          <w:szCs w:val="32"/>
        </w:rPr>
        <w:t>ULSs</w:t>
      </w:r>
      <w:proofErr w:type="spellEnd"/>
      <w:r>
        <w:rPr>
          <w:rFonts w:ascii="Arial Narrow" w:eastAsia="Arial Narrow" w:hAnsi="Arial Narrow" w:cs="Arial Narrow"/>
          <w:b/>
          <w:bCs/>
          <w:sz w:val="32"/>
          <w:szCs w:val="32"/>
        </w:rPr>
        <w:t xml:space="preserve"> de Santo António e São João</w:t>
      </w:r>
    </w:p>
    <w:p w14:paraId="60FF4C78" w14:textId="77777777" w:rsidR="00461B4B" w:rsidRDefault="00461B4B">
      <w:pPr>
        <w:spacing w:line="360" w:lineRule="auto"/>
        <w:ind w:left="3827"/>
        <w:jc w:val="both"/>
        <w:rPr>
          <w:rFonts w:ascii="Arial Narrow" w:eastAsia="Arial Narrow" w:hAnsi="Arial Narrow" w:cs="Arial Narrow"/>
        </w:rPr>
      </w:pPr>
    </w:p>
    <w:p w14:paraId="3D2594CD" w14:textId="77777777" w:rsidR="00461B4B" w:rsidRDefault="00461B4B">
      <w:pPr>
        <w:spacing w:line="360" w:lineRule="auto"/>
        <w:ind w:left="3827"/>
        <w:jc w:val="both"/>
        <w:rPr>
          <w:rFonts w:ascii="Arial Narrow" w:eastAsia="Arial Narrow" w:hAnsi="Arial Narrow" w:cs="Arial Narrow"/>
        </w:rPr>
      </w:pPr>
    </w:p>
    <w:p w14:paraId="65CA43F4" w14:textId="77777777" w:rsidR="00461B4B" w:rsidRDefault="00000000">
      <w:pPr>
        <w:spacing w:after="120"/>
        <w:ind w:left="4253"/>
        <w:jc w:val="both"/>
        <w:rPr>
          <w:rFonts w:ascii="Arial Narrow" w:eastAsia="Arial Narrow" w:hAnsi="Arial Narrow" w:cs="Arial Narrow"/>
        </w:rPr>
      </w:pPr>
      <w:r>
        <w:rPr>
          <w:rFonts w:ascii="Arial Narrow" w:eastAsia="Arial Narrow" w:hAnsi="Arial Narrow" w:cs="Arial Narrow"/>
        </w:rPr>
        <w:t>Alunos</w:t>
      </w:r>
    </w:p>
    <w:p w14:paraId="1B9DCC6C" w14:textId="77777777" w:rsidR="00461B4B" w:rsidRDefault="00000000">
      <w:pPr>
        <w:spacing w:line="360" w:lineRule="auto"/>
        <w:ind w:left="4253"/>
        <w:jc w:val="both"/>
        <w:rPr>
          <w:rFonts w:ascii="Arial Narrow" w:eastAsia="Arial Narrow" w:hAnsi="Arial Narrow" w:cs="Arial Narrow"/>
        </w:rPr>
      </w:pPr>
      <w:r>
        <w:rPr>
          <w:rFonts w:ascii="Arial Narrow" w:eastAsia="Arial Narrow" w:hAnsi="Arial Narrow" w:cs="Arial Narrow"/>
        </w:rPr>
        <w:t>Afonso Gomes dos Santos – 202406167</w:t>
      </w:r>
    </w:p>
    <w:p w14:paraId="0FB80A7A" w14:textId="77777777" w:rsidR="00461B4B" w:rsidRDefault="00000000">
      <w:pPr>
        <w:spacing w:line="360" w:lineRule="auto"/>
        <w:ind w:left="4253"/>
        <w:jc w:val="both"/>
        <w:rPr>
          <w:rFonts w:ascii="Arial Narrow" w:eastAsia="Arial Narrow" w:hAnsi="Arial Narrow" w:cs="Arial Narrow"/>
        </w:rPr>
      </w:pPr>
      <w:r>
        <w:rPr>
          <w:rFonts w:ascii="Arial Narrow" w:eastAsia="Arial Narrow" w:hAnsi="Arial Narrow" w:cs="Arial Narrow"/>
        </w:rPr>
        <w:t>Afonso Miguel Vieira Marcos – 202404088</w:t>
      </w:r>
    </w:p>
    <w:p w14:paraId="2276A97D" w14:textId="77777777" w:rsidR="00461B4B" w:rsidRDefault="00000000">
      <w:pPr>
        <w:spacing w:line="360" w:lineRule="auto"/>
        <w:ind w:left="4253"/>
        <w:jc w:val="both"/>
        <w:rPr>
          <w:rFonts w:ascii="Arial Narrow" w:eastAsia="Arial Narrow" w:hAnsi="Arial Narrow" w:cs="Arial Narrow"/>
        </w:rPr>
      </w:pPr>
      <w:r>
        <w:rPr>
          <w:rFonts w:ascii="Arial Narrow" w:eastAsia="Arial Narrow" w:hAnsi="Arial Narrow" w:cs="Arial Narrow"/>
        </w:rPr>
        <w:t>Artur Miguel Guerreiro Anselmo – 202403965</w:t>
      </w:r>
    </w:p>
    <w:p w14:paraId="3D50D89B" w14:textId="77777777" w:rsidR="00461B4B" w:rsidRDefault="00000000">
      <w:pPr>
        <w:spacing w:line="360" w:lineRule="auto"/>
        <w:ind w:left="4253"/>
        <w:jc w:val="both"/>
        <w:rPr>
          <w:rFonts w:ascii="Arial Narrow" w:eastAsia="Arial Narrow" w:hAnsi="Arial Narrow" w:cs="Arial Narrow"/>
        </w:rPr>
      </w:pPr>
      <w:r>
        <w:rPr>
          <w:rFonts w:ascii="Arial Narrow" w:eastAsia="Arial Narrow" w:hAnsi="Arial Narrow" w:cs="Arial Narrow"/>
        </w:rPr>
        <w:t>Pedro Miguel Moreira Pereira Afonso – 202404125</w:t>
      </w:r>
    </w:p>
    <w:p w14:paraId="619294FD" w14:textId="77777777" w:rsidR="00461B4B" w:rsidRDefault="00000000">
      <w:pPr>
        <w:spacing w:line="360" w:lineRule="auto"/>
        <w:ind w:left="4253"/>
        <w:jc w:val="both"/>
        <w:rPr>
          <w:rFonts w:ascii="Arial Narrow" w:eastAsia="Arial Narrow" w:hAnsi="Arial Narrow" w:cs="Arial Narrow"/>
        </w:rPr>
      </w:pPr>
      <w:r>
        <w:rPr>
          <w:rFonts w:ascii="Arial Narrow" w:eastAsia="Arial Narrow" w:hAnsi="Arial Narrow" w:cs="Arial Narrow"/>
        </w:rPr>
        <w:t>Rafael Raposo dos Santos – 202405265</w:t>
      </w:r>
    </w:p>
    <w:p w14:paraId="4F6A9037" w14:textId="77777777" w:rsidR="00461B4B" w:rsidRDefault="00461B4B">
      <w:pPr>
        <w:spacing w:line="360" w:lineRule="auto"/>
        <w:ind w:left="4253"/>
        <w:jc w:val="both"/>
        <w:rPr>
          <w:rFonts w:ascii="Arial Narrow" w:eastAsia="Arial Narrow" w:hAnsi="Arial Narrow" w:cs="Arial Narrow"/>
        </w:rPr>
      </w:pPr>
    </w:p>
    <w:p w14:paraId="462B73CF" w14:textId="77777777" w:rsidR="00461B4B" w:rsidRDefault="00000000">
      <w:pPr>
        <w:spacing w:after="120"/>
        <w:ind w:left="4253"/>
        <w:jc w:val="both"/>
        <w:rPr>
          <w:rFonts w:ascii="Arial Narrow" w:eastAsia="Arial Narrow" w:hAnsi="Arial Narrow" w:cs="Arial Narrow"/>
        </w:rPr>
      </w:pPr>
      <w:r>
        <w:rPr>
          <w:rFonts w:ascii="Arial Narrow" w:eastAsia="Arial Narrow" w:hAnsi="Arial Narrow" w:cs="Arial Narrow"/>
        </w:rPr>
        <w:t>Docentes</w:t>
      </w:r>
    </w:p>
    <w:p w14:paraId="0C06A046" w14:textId="77777777" w:rsidR="00461B4B" w:rsidRDefault="00000000">
      <w:pPr>
        <w:spacing w:line="360" w:lineRule="auto"/>
        <w:ind w:left="4253"/>
        <w:jc w:val="both"/>
        <w:rPr>
          <w:rFonts w:ascii="Arial Narrow" w:eastAsia="Arial Narrow" w:hAnsi="Arial Narrow" w:cs="Arial Narrow"/>
        </w:rPr>
      </w:pPr>
      <w:r>
        <w:rPr>
          <w:rFonts w:ascii="Arial Narrow" w:eastAsia="Arial Narrow" w:hAnsi="Arial Narrow" w:cs="Arial Narrow"/>
        </w:rPr>
        <w:t>Maria José Afonso Teodósio Bento</w:t>
      </w:r>
    </w:p>
    <w:p w14:paraId="753F4943" w14:textId="77777777" w:rsidR="00461B4B" w:rsidRDefault="00000000">
      <w:pPr>
        <w:spacing w:line="360" w:lineRule="auto"/>
        <w:ind w:left="4253"/>
        <w:jc w:val="both"/>
        <w:rPr>
          <w:rFonts w:ascii="Arial Narrow" w:eastAsia="Arial Narrow" w:hAnsi="Arial Narrow" w:cs="Arial Narrow"/>
        </w:rPr>
      </w:pPr>
      <w:r>
        <w:rPr>
          <w:rFonts w:ascii="Arial Narrow" w:eastAsia="Arial Narrow" w:hAnsi="Arial Narrow" w:cs="Arial Narrow"/>
        </w:rPr>
        <w:t>Marina Barroso Pereira Pinheiro</w:t>
      </w:r>
    </w:p>
    <w:p w14:paraId="4D7AA530" w14:textId="75200B69" w:rsidR="00446E16" w:rsidRDefault="00000000" w:rsidP="00446E16">
      <w:pPr>
        <w:spacing w:line="360" w:lineRule="auto"/>
        <w:ind w:left="4253"/>
        <w:jc w:val="both"/>
        <w:rPr>
          <w:rFonts w:ascii="Arial Narrow" w:eastAsia="Arial Narrow" w:hAnsi="Arial Narrow" w:cs="Arial Narrow"/>
        </w:rPr>
      </w:pPr>
      <w:r>
        <w:rPr>
          <w:rFonts w:ascii="Arial Narrow" w:eastAsia="Arial Narrow" w:hAnsi="Arial Narrow" w:cs="Arial Narrow"/>
        </w:rPr>
        <w:t>Ana Sofia de Almeida Aguiar</w:t>
      </w:r>
    </w:p>
    <w:p w14:paraId="2C4B20E5" w14:textId="196502E3" w:rsidR="00B079C9" w:rsidRDefault="00B079C9">
      <w:pPr>
        <w:rPr>
          <w:rFonts w:eastAsia="Arial Narrow"/>
          <w:b/>
          <w:bCs/>
          <w:sz w:val="24"/>
          <w:szCs w:val="24"/>
        </w:rPr>
      </w:pPr>
      <w:r>
        <w:rPr>
          <w:rFonts w:eastAsia="Arial Narrow"/>
          <w:b/>
          <w:bCs/>
          <w:sz w:val="24"/>
          <w:szCs w:val="24"/>
        </w:rPr>
        <w:br w:type="page"/>
      </w:r>
    </w:p>
    <w:p>
      <w:pPr>
        <w:numPr>
          <w:ilvl w:val="0"/>
          <w:numId w:val="1"/>
        </w:numPr>
        <w:spacing w:before="360" w:after="120" w:line="360" w:lineRule="auto"/>
        <w:ind w:left="714" w:hanging="357"/>
        <w:jc w:val="both"/>
        <w:outlineLvl w:val="0"/>
        <w:rPr>
          <w:rFonts w:eastAsia="Arial Narrow"/>
          <w:b/>
          <w:bCs/>
          <w:sz w:val="24"/>
          <w:szCs w:val="24"/>
        </w:rPr>
      </w:pPr>
      <w:r>
        <w:rPr>
          <w:b/>
          <w:bCs/>
          <w:sz w:val="24"/>
          <w:szCs w:val="24"/>
        </w:rPr>
        <w:t xml:space="preserve">Introdução</w:t>
      </w:r>
    </w:p>
    <w:p>
      <w:pPr>
        <w:spacing w:line="360" w:lineRule="auto"/>
        <w:ind w:firstLine="284"/>
        <w:jc w:val="both"/>
        <w:rPr>
          <w:sz w:val="24"/>
          <w:szCs w:val="24"/>
        </w:rPr>
      </w:pPr>
      <w:r>
        <w:rPr>
          <w:sz w:val="24"/>
          <w:szCs w:val="24"/>
        </w:rPr>
        <w:t xml:space="preserve">A doença de Parkinson (DP) é a segunda doença neurodegenerativa mais frequente, caracterizada pela degenerescência de neurónios dopaminérgicos e por sintomas motores </w:t>
      </w:r>
      <w:r w:rsidR="008F562F" w:rsidRPr="0011232A">
        <w:rPr>
          <w:sz w:val="24"/>
          <w:szCs w:val="24"/>
        </w:rPr>
        <w:fldChar w:fldCharType="begin"/>
      </w:r>
      <w:r w:rsidR="008F562F" w:rsidRPr="0011232A">
        <w:rPr>
          <w:sz w:val="24"/>
          <w:szCs w:val="24"/>
        </w:rPr>
        <w:instrText xml:space="preserve"> ADDIN ZOTERO_ITEM CSL_CITATION {"citationID":"OU3LHitT","properties":{"unsorted":false,"formattedCitation":"[1]","plainCitation":"[1]","noteIndex":0},"citationItems":[{"id":25,"uris":["http://zotero.org/users/local/LvC0uRfo/items/F52TYJYS","http://zotero.org/users/21945073/items/F52TYJYS"],"itemData":{"id":25,"type":"article-journal","abstract":"Coﬀee and caﬀeine are speculated to be associated with the reduced risk of Parkinson’s disease (PD). The present study aimed to investigate the disease-modifying potential of caﬀeine on PD, either for healthy people or patients, through a meta-analysis. The electronic databases were searched using terms related to PD and coﬀee and caﬀeinated food products. Articles were included only upon fulﬁllment of clear diagnostic criteria for PD and details regarding their caﬀeine content. Reference lists of relevant articles were reviewed to identify eligible studies not shortlisted using these terms. In total, the present study enrolled 13 studies, nine were categorized into a healthy cohort and the rest into a PD cohort. The individuals in the healthy cohort with regular caﬀeine consumption had a signiﬁcantly lower risk of PD during follow-up evaluation (hazard ratio (HR) = 0.797, 95% CI = 0.748–0.849, p &lt; 0.001). The outcomes of disease progression in PD cohorts included dyskinesia, motor ﬂuctuation, symptom onset, and levodopa initiation. Individuals consuming caﬀeine presented a signiﬁcantly lower rate of PD progression (HR = 0.834, 95% CI = 0.707–0.984, p = 0.03). In conclusion, caﬀeine modiﬁed disease risk and progression in PD, among both healthy individuals or those with PD. Potential biological beneﬁts, such as those obtained from adenosine 2A receptor antagonism, may require further investigation for designing new drugs.","container-title":"Nutrients","DOI":"10.3390/nu12061860","ISSN":"2072-6643","issue":"6","journalAbbreviation":"Nutrients","language":"en","page":"1860","source":"DOI.org (Crossref)","title":"The Effect of Caffeine on the Risk and Progression of Parkinson’s Disease: A Meta-Analysis","title-short":"The Effect of Caffeine on the Risk and Progression of Parkinson’s Disease","volume":"12","author":[{"family":"Hong","given":"Chien Tai"},{"family":"Chan","given":"Lung"},{"family":"Bai","given":"Chyi-Huey"}],"issued":{"date-parts":[["2020",6,22]]}}}],"schema":"https://github.com/citation-style-language/schema/raw/master/csl-citation.json"} </w:instrText>
      </w:r>
      <w:r w:rsidR="008F562F" w:rsidRPr="0011232A">
        <w:rPr>
          <w:sz w:val="24"/>
          <w:szCs w:val="24"/>
        </w:rPr>
        <w:fldChar w:fldCharType="separate"/>
      </w:r>
      <w:r w:rsidR="008F562F" w:rsidRPr="0011232A">
        <w:rPr>
          <w:sz w:val="24"/>
        </w:rPr>
        <w:t>[1]</w:t>
      </w:r>
      <w:r w:rsidR="008F562F" w:rsidRPr="0011232A">
        <w:rPr>
          <w:sz w:val="24"/>
          <w:szCs w:val="24"/>
        </w:rPr>
        <w:fldChar w:fldCharType="end"/>
      </w:r>
      <w:r>
        <w:rPr>
          <w:sz w:val="24"/>
          <w:szCs w:val="24"/>
        </w:rPr>
        <w:t xml:space="preserve">, com incidência crescente a partir dos 50 anos </w:t>
      </w:r>
      <w:r w:rsidR="008F562F" w:rsidRPr="0011232A">
        <w:rPr>
          <w:sz w:val="24"/>
          <w:szCs w:val="24"/>
        </w:rPr>
        <w:fldChar w:fldCharType="begin"/>
      </w:r>
      <w:r w:rsidR="008F562F" w:rsidRPr="0011232A">
        <w:rPr>
          <w:sz w:val="24"/>
          <w:szCs w:val="24"/>
        </w:rPr>
        <w:instrText xml:space="preserve"> ADDIN ZOTERO_ITEM CSL_CITATION {"citationID":"xsWjDoR4","properties":{"unsorted":false,"formattedCitation":"[2]","plainCitation":"[2]","noteIndex":0},"citationItems":[{"id":4,"uris":["http://zotero.org/users/local/LvC0uRfo/items/NAP98GG7","http://zotero.org/users/21945073/items/NAP98GG7"],"itemData":{"id":4,"type":"article-journal","abstract":"Parkinson’s disease may be caused by a single pathogenic variant (monogenic) in 5–10% of cases, but investigation of these disorders provides valuable pathophysiological insights. In this review, we discuss each genetic form with a focus on genotype, phenotype, pathophysiology, and the geographic and ethnic distribution. Well-established Parkinson’s disease genes include autosomal dominant forms (SNCA, LRRK2, and VPS35) and autosomal recessive forms (PRKN, PINK1 and DJ1). Furthermore, mutations in the GBA gene are a key risk factor for Parkinson’s disease, and there have been major developments for X-linked dystonia parkinsonism. Moreover, atypical or complex parkinsonism may be due to mutations in genes such as ATP13A2, DCTN1, DNAJC6, FBXO7, PLA2G6, and SYNJ1. Furthermore, numerous genes have recently been implicated in Parkinson’s disease, such as CHCHD2, LRP10, TMEM230, UQCRC1, and VPS13C. Additionally, we discuss the role of heterozygous mutations in autosomal recessive genes, the effect of having mutations in two Parkinson’s disease genes, the outcome of deep brain stimulation, and the role of genetic testing. We highlight that monogenic Parkinson’s disease is influenced by ethnicity and geographical differences, reinforcing the need for global efforts to pool large numbers of patients and identify novel candidate genes.","container-title":"Genes","DOI":"10.3390/genes13030471","ISSN":"2073-4425","issue":"3","language":"en","license":"https://creativecommons.org/licenses/by/3.0/","page":"471","publisher":"Multidisciplinary Digital Publishing Institute","source":"www.mdpi.com","title":"Monogenic Parkinson’s Disease: Genotype, Phenotype, Pathophysiology, and Genetic Testing","title-short":"Monogenic Parkinson’s Disease","volume":"13","author":[{"family":"Jia","given":"Fangzhi"},{"family":"Fellner","given":"Avi"},{"family":"Kumar","given":"Kishore Raj"}],"issued":{"date-parts":[["2022",3]]}}}],"schema":"https://github.com/citation-style-language/schema/raw/master/csl-citation.json"} </w:instrText>
      </w:r>
      <w:r w:rsidR="008F562F" w:rsidRPr="0011232A">
        <w:rPr>
          <w:sz w:val="24"/>
          <w:szCs w:val="24"/>
        </w:rPr>
        <w:fldChar w:fldCharType="separate"/>
      </w:r>
      <w:r w:rsidR="008F562F" w:rsidRPr="0011232A">
        <w:rPr>
          <w:sz w:val="24"/>
        </w:rPr>
        <w:t>[2]</w:t>
      </w:r>
      <w:r w:rsidR="008F562F" w:rsidRPr="0011232A">
        <w:rPr>
          <w:sz w:val="24"/>
          <w:szCs w:val="24"/>
        </w:rPr>
        <w:fldChar w:fldCharType="end"/>
      </w:r>
      <w:r>
        <w:rPr>
          <w:sz w:val="24"/>
          <w:szCs w:val="24"/>
        </w:rPr>
        <w:t xml:space="preserve">. A sua etiologia é multifatorial, incluindo fatores associados a menor risco, como o consumo de cafeína e o tabagismo </w:t>
      </w:r>
      <w:r w:rsidR="00375BD5">
        <w:rPr>
          <w:sz w:val="24"/>
          <w:szCs w:val="24"/>
        </w:rPr>
        <w:fldChar w:fldCharType="begin"/>
      </w:r>
      <w:r w:rsidR="00375BD5">
        <w:rPr>
          <w:sz w:val="24"/>
          <w:szCs w:val="24"/>
        </w:rPr>
        <w:instrText xml:space="preserve"> ADDIN ZOTERO_ITEM CSL_CITATION {"citationID":"3NyskwSq","properties":{"unsorted":false,"formattedCitation":"[3]","plainCitation":"[3]","noteIndex":0},"citationItems":[{"id":31,"uris":["http://zotero.org/users/21945073/items/32VHKTEN"],"itemData":{"id":31,"type":"article","abstract":"Many but not all studies have indicated that smoking is inversely associated with Parkinson's disease (PD). Meta-analysis of epidemiological studies on smoking and PD was performed to summarize data from published studies. Fifty-four epidemiological studies (48 case-control and 6 cohort studies, 53 publications) were identified for potential inclusion in meta-analysis. The summary risk estimates for current smokers, former smokers, and ever (current and former) smokers were 0.31 (95% confidence interval (CI) = 0.25-0.38), 0.72 (95% CI = 0.63-0.83) and 0. 55 (95% CI = 0. 51-0. 59), respectively. In stratified analysis by study design, smoking had a somewhat greater impact on PD risk in cohort studies than in case-control studies. However, meta-regression indicated that the study design did not significantly contribute to heterogeneity. Additional analyses were restricted to case-control studies because of the sufficient number of studies. Stratified analysis by ethnicity indicated that the summary OR for ever-smokers was nonsignificantly smaller in Asian populations than in Caucasian populations. In stratified analysis by source of controls, former smoking was significantly associated with a decreased risk of PD in hospital-based case-control studies but was marginally associated with a decreased risk in population-based case-control studies. The source of controls did not contribute significantly to heterogeneity. PD risk associated with ever-smoking was significantly lower for a hospital-based approach than a population-based approach. Among current smokers, the association held true to the same extent for both approaches. This meta-analysis indicated that smokers have a lower risk of PD. As PD is a multifactorial disease, further investigation of the smoking-gene interaction on PD risk may lead to a better understanding of the pathogenesis of PD.","DOI":"10.15017/20014","language":"en","number":"8","publisher":"Fukuoka Medical Association","source":"DOI.org (CSL JSON)","title":"Cigarette Smoking and Parkinson's Disease : A Meta-Analysis","title-short":"Cigarette Smoking and Parkinson's Disease","URL":"https://doi.org/10.15017/20014","author":[{"family":"Kiyohara","given":"Chikako"},{"family":"Kusuhara","given":"Shota"}],"accessed":{"date-parts":[["2026",10,6]]},"issued":{"date-parts":[["2011",8,25]]}}}],"schema":"https://github.com/citation-style-language/schema/raw/master/csl-citation.json"} </w:instrText>
      </w:r>
      <w:r w:rsidR="00375BD5">
        <w:rPr>
          <w:sz w:val="24"/>
          <w:szCs w:val="24"/>
        </w:rPr>
        <w:fldChar w:fldCharType="separate"/>
      </w:r>
      <w:r w:rsidR="00375BD5" w:rsidRPr="00375BD5">
        <w:rPr>
          <w:sz w:val="24"/>
        </w:rPr>
        <w:t>[3]</w:t>
      </w:r>
      <w:r w:rsidR="00375BD5">
        <w:rPr>
          <w:sz w:val="24"/>
          <w:szCs w:val="24"/>
        </w:rPr>
        <w:fldChar w:fldCharType="end"/>
      </w:r>
      <w:r>
        <w:rPr>
          <w:sz w:val="24"/>
          <w:szCs w:val="24"/>
        </w:rPr>
        <w:t xml:space="preserve">, e fatores de risco, como a exposição a pesticidas e os traumatismos cranianos </w:t>
      </w:r>
      <w:r w:rsidR="008F562F" w:rsidRPr="0011232A">
        <w:rPr>
          <w:sz w:val="24"/>
          <w:szCs w:val="24"/>
        </w:rPr>
        <w:fldChar w:fldCharType="begin"/>
      </w:r>
      <w:r w:rsidR="00CE16FF">
        <w:rPr>
          <w:sz w:val="24"/>
          <w:szCs w:val="24"/>
        </w:rPr>
        <w:instrText xml:space="preserve"> ADDIN ZOTERO_ITEM CSL_CITATION {"citationID":"qk1MJ7Fn","properties":{"unsorted":false,"formattedCitation":"[4,5]","plainCitation":"[4,5]","noteIndex":0},"citationItems":[{"id":17,"uris":["http://zotero.org/users/21945073/items/MLWJ9JAC"],"itemData":{"id":17,"type":"article-journal","abstract":"Abstract\n            The etiology of Parkinson's disease (PD) is complex and multifactorial, depending on interactions involving environmental/lifestyle and genetic factors. The genetic aspects of the disease are becoming well characterized, while the environmental factors still need further investigation. In the present narrative review, we have described the most concrete evidence of associations between environmental factors and the risk of developing PD. Physical activity, healthy dietary patterns, smoking, and caffeine intake are protective factors against PD. Head trauma, consumption of milk and dairy products, and pesticide exposure were associated with a higher risk of developing PD. The associations of alcohol consumption, living in rural areas, farming, and consumption of well water with PD are still controversial. Results of several studies strongly suggest that diabetes mellitus is a risk factor for the development of PD, as well as the pre-diabetic state. Lower serum levels of uric acid were associated with an increased risk of developing PD and with worse clinical features and faster progression of symptoms. The protective effects of nonsteroidal antiinflammatory drugs use are controversial. Several other factors were potentially associated with the risk of developing PD: environmental pollutants such as organic solvents, exposure to sunlight, vitamin D deficiency, bullous pemphigoid, bipolar disorder, inflammatory bowel disease, irritable bowel syndrome, certain infections and agents, and essential tremor. Environmental factors are important risk markers for the development of PD. Understanding these risks and protective factors could lead to the implementation of risk-modifying actions for PD.","container-title":"Arquivos de Neuro-Psiquiatria","DOI":"10.1055/s-0045-1805075","ISSN":"0004-282X, 1678-4227","issue":"03","journalAbbreviation":"Arq Neuropsiquiatr","language":"en","license":"https://creativecommons.org/licenses/by/4.0/","page":"001-010","source":"DOI.org (Crossref)","title":"Modifiable risk factors associated with the risk of developing Parkinson's disease: a critical review","title-short":"Modifiable risk factors associated with the risk of developing Parkinson's disease","volume":"83","author":[{"family":"Tumas","given":"Vitor"},{"family":"Aureliano","given":"Marcelo Jhonatan"},{"family":"Rieder","given":"Carlos Roberto De Melo"},{"family":"Schuh","given":"Artur Francisco Schumacher"},{"family":"Ferraz","given":"Henrique Ballalai"},{"family":"Borges","given":"Vanderci"},{"family":"Soares","given":"Maria Carolina"},{"family":"Boone","given":"Dayany Leonel"},{"family":"Silva","given":"Carolina Candeias Da"},{"family":"Costa","given":"Mariana Cavalcanti"},{"family":"Silva","given":"Delson José Da"},{"family":"Carmo","given":"Aracelle Victor Do"},{"family":"Mikael","given":"Luana De Rezende"},{"family":"Santos-Lobato","given":"Bruno Lopes"},{"family":"Rosso","given":"Ana Lucia Zuma"},{"family":"Vilaça","given":"Celmir De Oliveira"},{"family":"Braga-Neto","given":"Pedro"},{"family":"Gomes","given":"André Borges Ferreira"},{"family":"Carvalho","given":"Camila Gonçalves Monteiro"},{"family":"Letro","given":"Grace Helena"},{"family":"Nicaretta","given":"Denise Hack"},{"family":"Coletta","given":"Marcus Vinicius Della"},{"family":"Barbosa","given":"Egberto Reis"},{"family":"Cury","given":"Rubens Gisbert"},{"family":"Cardoso","given":"Francisco Eduardo Costa"},{"family":"Camargos","given":"Sarah Teixeira"},{"family":"Mata","given":"Ignacio Fernandez"}],"issued":{"date-parts":[["2025",3]]}}},{"id":53,"uris":["http://zotero.org/users/21945073/items/FPE94VN8"],"itemData":{"id":53,"type":"article-journal","abstract":"We review the epidemiologic literature on potential protective and risk factors in Parkinson’s Disease (PD). Prior research identified numerous possible protective and risk factors. Potential protective factors include tobacco abuse, physical activity, urate levels, NSAID use, calcium channel blocker use, statin use, and use of some α1-adrenergic antagonists. Some potential protective factors could be products of reverse causation, including increased serum urate, tobacco abuse, and coffee-tea-caffeine consumption. Potential risk factors include traumatic brain injury, pesticide exposure, organic solvent exposure, lead exposure, air pollution, Type 2 Diabetes, some dairy products, cardiovascular disease, and some infections including Hepatitis C, H. pylori, and COVID-19. Potential non-environmental risk factors include bipolar disorder, essential tremor, bullous pemphigoid, and inflammatory bowel disease. There is an inverse relationship with PD and risk of most cancers. Though many potential protective and risk factors for PD were identified, research has not yet led to unique, rigorous prevention trials or successful disease-modifying interventions. While efforts to reduce exposure to some industrial toxicants are well justified, PD incidence might be most effectively reduced by mitigation of risks, such as Type 2 Diabetes, air pollution, traumatic brain injury, or physical inactivity, that are general public health intervention targets.","container-title":"Parkinsonism &amp; Related Disorders","DOI":"10.1016/j.parkreldis.2024.107026","ISSN":"13538020","journalAbbreviation":"Parkinsonism &amp; Related Disorders","language":"en","page":"107026","source":"DOI.org (Crossref)","title":"Update: Protective and risk factors for Parkinson disease","title-short":"Update","volume":"125","author":[{"family":"Grotewold","given":"Nikolas"},{"family":"Albin","given":"Roger L."}],"issued":{"date-parts":[["2024",8]]}}}],"schema":"https://github.com/citation-style-language/schema/raw/master/csl-citation.json"} </w:instrText>
      </w:r>
      <w:r w:rsidR="008F562F" w:rsidRPr="0011232A">
        <w:rPr>
          <w:sz w:val="24"/>
          <w:szCs w:val="24"/>
        </w:rPr>
        <w:fldChar w:fldCharType="separate"/>
      </w:r>
      <w:r w:rsidR="00CE16FF" w:rsidRPr="00CE16FF">
        <w:rPr>
          <w:sz w:val="24"/>
        </w:rPr>
        <w:t>[4,5]</w:t>
      </w:r>
      <w:r w:rsidR="008F562F" w:rsidRPr="0011232A">
        <w:rPr>
          <w:sz w:val="24"/>
          <w:szCs w:val="24"/>
        </w:rPr>
        <w:fldChar w:fldCharType="end"/>
      </w:r>
      <w:r>
        <w:rPr>
          <w:sz w:val="24"/>
          <w:szCs w:val="24"/>
        </w:rPr>
        <w:t xml:space="preserve">.</w:t>
      </w:r>
    </w:p>
    <w:p>
      <w:pPr>
        <w:spacing w:line="360" w:lineRule="auto"/>
        <w:ind w:firstLine="284"/>
        <w:jc w:val="both"/>
        <w:rPr>
          <w:sz w:val="24"/>
          <w:szCs w:val="24"/>
        </w:rPr>
      </w:pPr>
      <w:r>
        <w:rPr>
          <w:sz w:val="24"/>
          <w:szCs w:val="24"/>
        </w:rPr>
        <w:t xml:space="preserve">A cafeína, a substância psicoativa mais consumida a nível mundial, é um antagonista dos recetores de adenosina A</w:t>
      </w:r>
      <w:r>
        <w:rPr>
          <w:sz w:val="24"/>
          <w:szCs w:val="24"/>
          <w:vertAlign w:val="subscript"/>
        </w:rPr>
        <w:t xml:space="preserve">2A</w:t>
      </w:r>
      <w:r>
        <w:rPr>
          <w:sz w:val="24"/>
          <w:szCs w:val="24"/>
        </w:rPr>
        <w:t xml:space="preserve">, que modulam a função dopaminérgica estriatal </w:t>
      </w:r>
      <w:r w:rsidR="00D85810" w:rsidRPr="008F6F4C">
        <w:rPr>
          <w:sz w:val="24"/>
          <w:szCs w:val="24"/>
        </w:rPr>
        <w:fldChar w:fldCharType="begin"/>
      </w:r>
      <w:r w:rsidR="00CE16FF">
        <w:rPr>
          <w:sz w:val="24"/>
          <w:szCs w:val="24"/>
        </w:rPr>
        <w:instrText xml:space="preserve"> ADDIN ZOTERO_ITEM CSL_CITATION {"citationID":"SQ0ZgF3p","properties":{"unsorted":false,"formattedCitation":"[1,6]","plainCitation":"[1,6]","noteIndex":0},"citationItems":[{"id":25,"uris":["http://zotero.org/users/local/LvC0uRfo/items/F52TYJYS","http://zotero.org/users/21945073/items/F52TYJYS"],"itemData":{"id":25,"type":"article-journal","abstract":"Coﬀee and caﬀeine are speculated to be associated with the reduced risk of Parkinson’s disease (PD). The present study aimed to investigate the disease-modifying potential of caﬀeine on PD, either for healthy people or patients, through a meta-analysis. The electronic databases were searched using terms related to PD and coﬀee and caﬀeinated food products. Articles were included only upon fulﬁllment of clear diagnostic criteria for PD and details regarding their caﬀeine content. Reference lists of relevant articles were reviewed to identify eligible studies not shortlisted using these terms. In total, the present study enrolled 13 studies, nine were categorized into a healthy cohort and the rest into a PD cohort. The individuals in the healthy cohort with regular caﬀeine consumption had a signiﬁcantly lower risk of PD during follow-up evaluation (hazard ratio (HR) = 0.797, 95% CI = 0.748–0.849, p &lt; 0.001). The outcomes of disease progression in PD cohorts included dyskinesia, motor ﬂuctuation, symptom onset, and levodopa initiation. Individuals consuming caﬀeine presented a signiﬁcantly lower rate of PD progression (HR = 0.834, 95% CI = 0.707–0.984, p = 0.03). In conclusion, caﬀeine modiﬁed disease risk and progression in PD, among both healthy individuals or those with PD. Potential biological beneﬁts, such as those obtained from adenosine 2A receptor antagonism, may require further investigation for designing new drugs.","container-title":"Nutrients","DOI":"10.3390/nu12061860","ISSN":"2072-6643","issue":"6","journalAbbreviation":"Nutrients","language":"en","page":"1860","source":"DOI.org (Crossref)","title":"The Effect of Caffeine on the Risk and Progression of Parkinson’s Disease: A Meta-Analysis","title-short":"The Effect of Caffeine on the Risk and Progression of Parkinson’s Disease","volume":"12","author":[{"family":"Hong","given":"Chien Tai"},{"family":"Chan","given":"Lung"},{"family":"Bai","given":"Chyi-Huey"}],"issued":{"date-parts":[["2020",6,22]]}}},{"id":19,"uris":["http://zotero.org/users/21945073/items/NDU74SBG"],"itemData":{"id":19,"type":"article-journal","abstract":"Objective\n              This study was undertaken to investigate the effects of dietary caffeine intake on striatal dopamine function and clinical symptoms in Parkinson disease in a cross</w:instrText>
      </w:r>
      <w:r w:rsidR="00CE16FF">
        <w:rPr>
          <w:rFonts w:ascii="Cambria Math" w:hAnsi="Cambria Math" w:cs="Cambria Math"/>
          <w:sz w:val="24"/>
          <w:szCs w:val="24"/>
        </w:rPr>
        <w:instrText>‐</w:instrText>
      </w:r>
      <w:r w:rsidR="00CE16FF">
        <w:rPr>
          <w:sz w:val="24"/>
          <w:szCs w:val="24"/>
        </w:rPr>
        <w:instrText>sectional and longitudinal setting.\n            \n            \n              Methods\n              \n                One hundred sixty</w:instrText>
      </w:r>
      <w:r w:rsidR="00CE16FF">
        <w:rPr>
          <w:rFonts w:ascii="Cambria Math" w:hAnsi="Cambria Math" w:cs="Cambria Math"/>
          <w:sz w:val="24"/>
          <w:szCs w:val="24"/>
        </w:rPr>
        <w:instrText>‐</w:instrText>
      </w:r>
      <w:r w:rsidR="00CE16FF">
        <w:rPr>
          <w:sz w:val="24"/>
          <w:szCs w:val="24"/>
        </w:rPr>
        <w:instrText>three early Parkinson disease patients and 40 healthy controls were investigated with [\n                123\n                I]FP</w:instrText>
      </w:r>
      <w:r w:rsidR="00CE16FF">
        <w:rPr>
          <w:rFonts w:ascii="Cambria Math" w:hAnsi="Cambria Math" w:cs="Cambria Math"/>
          <w:sz w:val="24"/>
          <w:szCs w:val="24"/>
        </w:rPr>
        <w:instrText>‐</w:instrText>
      </w:r>
      <w:r w:rsidR="00CE16FF">
        <w:rPr>
          <w:sz w:val="24"/>
          <w:szCs w:val="24"/>
        </w:rPr>
        <w:instrText xml:space="preserve">CIT single photon emission computed tomography, and striatal dopamine transporter binding was evaluated in association with the level of daily coffee consumption and clinical measures. After a median interval of 6.1 years, 44 patients with various caffeine consumption levels underwent clinical and imaging reexamination including blood caffeine metabolite profiling.\n              \n            \n            \n              Results\n              Unmedicated early Parkinson disease patients with high coffee consumption had 8.3 to 15.4% lower dopamine transporter binding in all studied striatal regions than low consumers, after accounting for age, sex, and motor symptom severity. Higher caffeine consumption was further associated with a progressive decline in striatal binding over time. No significant effects of caffeine on motor function were observed. Blood analyses demonstrated a positive correlation between caffeine metabolites after recent caffeine intake and dopamine transporter binding in the ipsilateral putamen.\n            \n            \n              Interpretation\n              Chronic caffeine intake prompts compensatory and cumulative dopamine transporter downregulation, consistent with caffeine's reported risk reduction in Parkinson disease. However, this decline does not manifest in symptom changes. Transiently increased dopamine transporter binding after recent caffeine intake has implications for dopaminergic imaging guidelines. ANN NEUROL 2024;96:262–275","container-title":"Annals of Neurology","DOI":"10.1002/ana.26957","ISSN":"0364-5134, 1531-8249","issue":"2","journalAbbreviation":"Annals of Neurology","language":"en","page":"262-275","source":"DOI.org (Crossref)","title":"Dietary Caffeine and Brain Dopaminergic Function in Parkinson Disease","volume":"96","author":[{"family":"Saarinen","given":"Emmi K"},{"family":"Kuusimäki","given":"Tomi"},{"family":"Lindholm","given":"Kari"},{"family":"Niemi","given":"Kalle"},{"family":"Honkanen","given":"Emma A"},{"family":"Noponen","given":"Tommi"},{"family":"Seppänen","given":"Marko"},{"family":"Ihalainen","given":"Toni"},{"family":"Murtomäki","given":"Kirsi"},{"family":"Mertsalmi","given":"Tuomas"},{"family":"Jaakkola","given":"Elina"},{"family":"Myller","given":"Elina"},{"family":"Eklund","given":"Mikael"},{"family":"Nuuttila","given":"Simo"},{"family":"Levo","given":"Reeta"},{"family":"Chaudhuri","given":"Kallol Ray"},{"family":"Antonini","given":"Angelo"},{"family":"Vahlberg","given":"Tero"},{"family":"Lehtonen","given":"Marko"},{"family":"Joutsa","given":"Juho"},{"family":"Scheperjans","given":"Filip"},{"family":"Kaasinen","given":"Valtteri"}],"issued":{"date-parts":[["2024",8]]}}}],"schema":"https://github.com/citation-style-language/schema/raw/master/csl-citation.json"} </w:instrText>
      </w:r>
      <w:r w:rsidR="00D85810" w:rsidRPr="008F6F4C">
        <w:rPr>
          <w:sz w:val="24"/>
          <w:szCs w:val="24"/>
        </w:rPr>
        <w:fldChar w:fldCharType="separate"/>
      </w:r>
      <w:r w:rsidR="00CE16FF" w:rsidRPr="00CE16FF">
        <w:rPr>
          <w:sz w:val="24"/>
        </w:rPr>
        <w:t>[1,6]</w:t>
      </w:r>
      <w:r w:rsidR="00D85810" w:rsidRPr="008F6F4C">
        <w:rPr>
          <w:sz w:val="24"/>
          <w:szCs w:val="24"/>
        </w:rPr>
        <w:fldChar w:fldCharType="end"/>
      </w:r>
      <w:r>
        <w:rPr>
          <w:sz w:val="24"/>
          <w:szCs w:val="24"/>
        </w:rPr>
        <w:t xml:space="preserve">. Este bloqueio reduz a neuroinflamação e a excitotoxicidade, conferindo-lhe um potencial efeito neuroprotetor sobre os neurónios dopaminérgicos </w:t>
      </w:r>
      <w:r w:rsidR="008F562F" w:rsidRPr="0011232A">
        <w:rPr>
          <w:sz w:val="24"/>
          <w:szCs w:val="24"/>
        </w:rPr>
        <w:fldChar w:fldCharType="begin"/>
      </w:r>
      <w:r w:rsidR="00CE16FF">
        <w:rPr>
          <w:sz w:val="24"/>
          <w:szCs w:val="24"/>
        </w:rPr>
        <w:instrText xml:space="preserve"> ADDIN ZOTERO_ITEM CSL_CITATION {"citationID":"LOTzjaRB","properties":{"unsorted":false,"formattedCitation":"[1,7,8]","plainCitation":"[1,7,8]","noteIndex":0},"citationItems":[{"id":25,"uris":["http://zotero.org/users/local/LvC0uRfo/items/F52TYJYS","http://zotero.org/users/21945073/items/F52TYJYS"],"itemData":{"id":25,"type":"article-journal","abstract":"Coﬀee and caﬀeine are speculated to be associated with the reduced risk of Parkinson’s disease (PD). The present study aimed to investigate the disease-modifying potential of caﬀeine on PD, either for healthy people or patients, through a meta-analysis. The electronic databases were searched using terms related to PD and coﬀee and caﬀeinated food products. Articles were included only upon fulﬁllment of clear diagnostic criteria for PD and details regarding their caﬀeine content. Reference lists of relevant articles were reviewed to identify eligible studies not shortlisted using these terms. In total, the present study enrolled 13 studies, nine were categorized into a healthy cohort and the rest into a PD cohort. The individuals in the healthy cohort with regular caﬀeine consumption had a signiﬁcantly lower risk of PD during follow-up evaluation (hazard ratio (HR) = 0.797, 95% CI = 0.748–0.849, p &lt; 0.001). The outcomes of disease progression in PD cohorts included dyskinesia, motor ﬂuctuation, symptom onset, and levodopa initiation. Individuals consuming caﬀeine presented a signiﬁcantly lower rate of PD progression (HR = 0.834, 95% CI = 0.707–0.984, p = 0.03). In conclusion, caﬀeine modiﬁed disease risk and progression in PD, among both healthy individuals or those with PD. Potential biological beneﬁts, such as those obtained from adenosine 2A receptor antagonism, may require further investigation for designing new drugs.","container-title":"Nutrients","DOI":"10.3390/nu12061860","ISSN":"2072-6643","issue":"6","journalAbbreviation":"Nutrients","language":"en","page":"1860","source":"DOI.org (Crossref)","title":"The Effect of Caffeine on the Risk and Progression of Parkinson’s Disease: A Meta-Analysis","title-short":"The Effect of Caffeine on the Risk and Progression of Parkinson’s Disease","volume":"12","author":[{"family":"Hong","given":"Chien Tai"},{"family":"Chan","given":"Lung"},{"family":"Bai","given":"Chyi-Huey"}],"issued":{"date-parts":[["2020",6,22]]}}},{"id":18,"uris":["http://zotero.org/users/21945073/items/YZ3JJNLE"],"itemData":{"id":18,"type":"article-journal","abstract":"The question whether life style may impair the advent or course of the disease in patients with Parkinsonism is of great importance for patients and physicians alike. We present here comprehensive information on the influence of the environment, diet (especially caffeine, nicotine, alcohol, chocolate and dairy products), physical activity and sleep on risk and course of Parkinson’s disease.","container-title":"Journal of Neural Transmission","DOI":"10.1007/s00702-022-02509-1","ISSN":"0300-9564, 1435-1463","issue":"9","journalAbbreviation":"J Neural Transm","language":"en","page":"1235-1245","source":"DOI.org (Crossref)","title":"Life style and Parkinson’s disease","volume":"129","author":[{"family":"Reichmann","given":"Heinz"},{"family":"Csoti","given":"Ilona"},{"family":"Koschel","given":"Jiri"},{"family":"Lorenzl","given":"Stefan"},{"family":"Schrader","given":"Christoph"},{"family":"Winkler","given":"Juergen"},{"family":"Wüllner","given":"Ullrich"}],"issued":{"date-parts":[["2022",9]]}}},{"id":21,"uris":["http://zotero.org/users/21945073/items/Z4WUNV69"],"itemData":{"id":21,"type":"article-journal","abstract":"Parkinson’s disease (PD) is the second most common neurodegenerative disorder, characterized by dopaminergic neurodegeneration, motor impairment and non-motor symptoms. Epidemiological and experimental investigations into potential risk factors have ﬁrmly established that dietary factor caffeine, the most-widely consumed psychoactive substance, may exerts not only neuroprotective but a motor and non-motor (cognitive) beneﬁts in PD. These multi-beneﬁts of caffeine in PD are supported by convergence of epidemiological and animal evidence. At least six large prospective epidemiological studies have ﬁrmly established a relationship between increased caffeine consumption and decreased risk of developing PD. In addition, animal studies have also demonstrated that caffeine confers neuroprotection against dopaminergic neurodegeneration using PD models of mitochondrial toxins (MPTP, 6-OHDA, and rotenone) and expression of α-synuclein (α-Syn). While caffeine has complex pharmacological proﬁles, studies with genetic knockout mice have clearly revealed that caffeine’s action is largely mediated by the brain adenosine A2A receptor (A2AR) and confer neuroprotection by modulating neuroinﬂammation and excitotoxicity and mitochondrial function. Interestingly, recent studies have highlighted emerging new mechanisms including caffeine modulation of α-Syn degradation with enhanced autophagy and caffeine modulation of gut microbiota and gut-brain axis in PD models. Importantly, since the ﬁrst clinical trial in 2003, United States FDA has ﬁnally approved clinical use of the A2AR antagonist istradefylline for the treatment of PD with OFF-time in Sept. 2019. To realize therapeutic potential of caffeine in PD, genetic study of caffeine and risk genes in human population may identify useful pharmacogenetic markers for predicting individual responses to caffeine in PD clinical trials and thus offer a unique opportunity for “personalized medicine” in PD.","container-title":"Frontiers in Neuroscience","DOI":"10.3389/fnins.2020.602697","ISSN":"1662-453X","journalAbbreviation":"Front. Neurosci.","language":"en","page":"602697","source":"DOI.org (Crossref)","title":"Caffeine and Parkinson’s Disease: Multiple Benefits and Emerging Mechanisms","title-short":"Caffeine and Parkinson’s Disease","volume":"14","author":[{"family":"Ren","given":"Xiangpeng"},{"family":"Chen","given":"Jiang-Fan"}],"issued":{"date-parts":[["2020",12,17]]}}}],"schema":"https://github.com/citation-style-language/schema/raw/master/csl-citation.json"} </w:instrText>
      </w:r>
      <w:r w:rsidR="008F562F" w:rsidRPr="0011232A">
        <w:rPr>
          <w:sz w:val="24"/>
          <w:szCs w:val="24"/>
        </w:rPr>
        <w:fldChar w:fldCharType="separate"/>
      </w:r>
      <w:r w:rsidR="00CE16FF" w:rsidRPr="00CE16FF">
        <w:rPr>
          <w:sz w:val="24"/>
        </w:rPr>
        <w:t>[1,7,8]</w:t>
      </w:r>
      <w:r w:rsidR="008F562F" w:rsidRPr="0011232A">
        <w:rPr>
          <w:sz w:val="24"/>
          <w:szCs w:val="24"/>
        </w:rPr>
        <w:fldChar w:fldCharType="end"/>
      </w:r>
      <w:r>
        <w:rPr>
          <w:sz w:val="24"/>
          <w:szCs w:val="24"/>
        </w:rPr>
        <w:t xml:space="preserve">.</w:t>
      </w:r>
    </w:p>
    <w:p>
      <w:pPr>
        <w:spacing w:line="360" w:lineRule="auto"/>
        <w:ind w:firstLine="284"/>
        <w:jc w:val="both"/>
        <w:rPr>
          <w:sz w:val="24"/>
          <w:szCs w:val="24"/>
        </w:rPr>
      </w:pPr>
      <w:r>
        <w:rPr>
          <w:sz w:val="24"/>
          <w:szCs w:val="24"/>
        </w:rPr>
        <w:t xml:space="preserve">A evidência observacional associa o consumo regular de cafeína a uma redução de cerca de 25% no risco de DP </w:t>
      </w:r>
      <w:r w:rsidR="0049328A" w:rsidRPr="0011232A">
        <w:rPr>
          <w:sz w:val="24"/>
          <w:szCs w:val="24"/>
        </w:rPr>
        <w:fldChar w:fldCharType="begin"/>
      </w:r>
      <w:r w:rsidR="00CE16FF">
        <w:rPr>
          <w:sz w:val="24"/>
          <w:szCs w:val="24"/>
        </w:rPr>
        <w:instrText xml:space="preserve"> ADDIN ZOTERO_ITEM CSL_CITATION {"citationID":"5N7jieev","properties":{"unsorted":false,"formattedCitation":"[1,9]","plainCitation":"[1,9]","noteIndex":0},"citationItems":[{"id":25,"uris":["http://zotero.org/users/local/LvC0uRfo/items/F52TYJYS","http://zotero.org/users/21945073/items/F52TYJYS"],"itemData":{"id":25,"type":"article-journal","abstract":"Coﬀee and caﬀeine are speculated to be associated with the reduced risk of Parkinson’s disease (PD). The present study aimed to investigate the disease-modifying potential of caﬀeine on PD, either for healthy people or patients, through a meta-analysis. The electronic databases were searched using terms related to PD and coﬀee and caﬀeinated food products. Articles were included only upon fulﬁllment of clear diagnostic criteria for PD and details regarding their caﬀeine content. Reference lists of relevant articles were reviewed to identify eligible studies not shortlisted using these terms. In total, the present study enrolled 13 studies, nine were categorized into a healthy cohort and the rest into a PD cohort. The individuals in the healthy cohort with regular caﬀeine consumption had a signiﬁcantly lower risk of PD during follow-up evaluation (hazard ratio (HR) = 0.797, 95% CI = 0.748–0.849, p &lt; 0.001). The outcomes of disease progression in PD cohorts included dyskinesia, motor ﬂuctuation, symptom onset, and levodopa initiation. Individuals consuming caﬀeine presented a signiﬁcantly lower rate of PD progression (HR = 0.834, 95% CI = 0.707–0.984, p = 0.03). In conclusion, caﬀeine modiﬁed disease risk and progression in PD, among both healthy individuals or those with PD. Potential biological beneﬁts, such as those obtained from adenosine 2A receptor antagonism, may require further investigation for designing new drugs.","container-title":"Nutrients","DOI":"10.3390/nu12061860","ISSN":"2072-6643","issue":"6","journalAbbreviation":"Nutrients","language":"en","page":"1860","source":"DOI.org (Crossref)","title":"The Effect of Caffeine on the Risk and Progression of Parkinson’s Disease: A Meta-Analysis","title-short":"The Effect of Caffeine on the Risk and Progression of Parkinson’s Disease","volume":"12","author":[{"family":"Hong","given":"Chien Tai"},{"family":"Chan","given":"Lung"},{"family":"Bai","given":"Chyi-Huey"}],"issued":{"date-parts":[["2020",6,22]]}}},{"id":20,"uris":["http://zotero.org/users/21945073/items/4F8GMPTR"],"itemData":{"id":20,"type":"article-journal","abstract":"Several studies conducted worldwide report an inverse association between caffeine/coffee consumption and the risk of developing Parkinson’s disease (PD). However, heterogeneity and conﬂicting results between studies preclude a correct estimation of the strength of this association. We conducted a systematic review and meta-analysis of published epidemiological studies to better estimate the effect of caffeine exposure on the incidence of PD. Data sources searched included Medline, LILACS, Scopus, Web of Science and reference lists, up to September 2009. Cohort, case-control and cross-sectional studies were included. Three independent reviewers selected the studies and extracted the data on to standardized forms. Twenty-six studies were included: 7 cohort, 2 nested case-control, 16 case-control, and 1 cross-sectional study. Quantitative data synthesis of the most precise estimates from each study was accomplished through random effects meta-analysis. Heterogeneity was quantiﬁed using the I2 statistic. The summary RR for the association between caffeine intake and PD was 0.75 [95% Conﬁdence Interval (95%CI): 0.68–0.82], with low to moderate heterogeneity (I2 = 28.8%). Publication bias for case-control/cross-sectional studies may exist (Egger’s test, p = 0.053). When considering only the cohort studies, the RR was 0.80 (95%CI: 0.71–90; I2 = 8.1%). The negative association was weaker when only women were considered (RR = 0.86, 95%CI: 0.73–1.02; I2 = 12.9%). A linear relation was observed between levels of exposure to caffeine and the RR estimates: RR of 0.76 (95%CI: 0.72–0.80; I2 = 35.1%) per 300 mg increase in caffeine intake. This study conﬁrm an inverse association between caffeine intake and the risk of PD, which can hardly by explained by bias or uncontrolled confounding.","container-title":"Journal of Alzheimer's Disease","DOI":"10.3233/JAD-2010-091525","ISSN":"18758908, 13872877","issue":"s1","journalAbbreviation":"JAD","language":"en","license":"http://creativecommons.org/licenses/by-nc/4.0/","page":"S221-S238","source":"DOI.org (Crossref)","title":"Caffeine Exposure and the Risk of Parkinson's Disease: A Systematic Review and Meta-Analysis of Observational Studiess","title-short":"Caffeine Exposure and the Risk of Parkinson's Disease","volume":"20","author":[{"family":"Costa","given":"João"},{"family":"Lunet","given":"Nuno"},{"family":"Santos","given":"Catarina"},{"family":"Santos","given":"João"},{"family":"Vaz-Carneiro","given":"António"}],"editor":[{"family":"Cunha","given":"Rodrigo A."},{"family":"De Mendonça","given":"Alexandre"}],"issued":{"date-parts":[["2010",4,14]]}}}],"schema":"https://github.com/citation-style-language/schema/raw/master/csl-citation.json"} </w:instrText>
      </w:r>
      <w:r w:rsidR="0049328A" w:rsidRPr="0011232A">
        <w:rPr>
          <w:sz w:val="24"/>
          <w:szCs w:val="24"/>
        </w:rPr>
        <w:fldChar w:fldCharType="separate"/>
      </w:r>
      <w:r w:rsidR="00CE16FF" w:rsidRPr="00CE16FF">
        <w:rPr>
          <w:sz w:val="24"/>
        </w:rPr>
        <w:t>[1,9]</w:t>
      </w:r>
      <w:r w:rsidR="0049328A" w:rsidRPr="0011232A">
        <w:rPr>
          <w:sz w:val="24"/>
          <w:szCs w:val="24"/>
        </w:rPr>
        <w:fldChar w:fldCharType="end"/>
      </w:r>
      <w:r>
        <w:rPr>
          <w:sz w:val="24"/>
          <w:szCs w:val="24"/>
        </w:rPr>
        <w:t xml:space="preserve">. Contudo, num ensaio clínico em doentes já diagnosticados não se observou benefício nos sintomas motores </w:t>
      </w:r>
      <w:r w:rsidR="0049328A" w:rsidRPr="0011232A">
        <w:rPr>
          <w:sz w:val="24"/>
          <w:szCs w:val="24"/>
        </w:rPr>
        <w:fldChar w:fldCharType="begin"/>
      </w:r>
      <w:r w:rsidR="00CE16FF">
        <w:rPr>
          <w:sz w:val="24"/>
          <w:szCs w:val="24"/>
        </w:rPr>
        <w:instrText xml:space="preserve"> ADDIN ZOTERO_ITEM CSL_CITATION {"citationID":"JQfPilJF","properties":{"unsorted":false,"formattedCitation":"[1,10]","plainCitation":"[1,10]","noteIndex":0},"citationItems":[{"id":25,"uris":["http://zotero.org/users/local/LvC0uRfo/items/F52TYJYS","http://zotero.org/users/21945073/items/F52TYJYS"],"itemData":{"id":25,"type":"article-journal","abstract":"Coﬀee and caﬀeine are speculated to be associated with the reduced risk of Parkinson’s disease (PD). The present study aimed to investigate the disease-modifying potential of caﬀeine on PD, either for healthy people or patients, through a meta-analysis. The electronic databases were searched using terms related to PD and coﬀee and caﬀeinated food products. Articles were included only upon fulﬁllment of clear diagnostic criteria for PD and details regarding their caﬀeine content. Reference lists of relevant articles were reviewed to identify eligible studies not shortlisted using these terms. In total, the present study enrolled 13 studies, nine were categorized into a healthy cohort and the rest into a PD cohort. The individuals in the healthy cohort with regular caﬀeine consumption had a signiﬁcantly lower risk of PD during follow-up evaluation (hazard ratio (HR) = 0.797, 95% CI = 0.748–0.849, p &lt; 0.001). The outcomes of disease progression in PD cohorts included dyskinesia, motor ﬂuctuation, symptom onset, and levodopa initiation. Individuals consuming caﬀeine presented a signiﬁcantly lower rate of PD progression (HR = 0.834, 95% CI = 0.707–0.984, p = 0.03). In conclusion, caﬀeine modiﬁed disease risk and progression in PD, among both healthy individuals or those with PD. Potential biological beneﬁts, such as those obtained from adenosine 2A receptor antagonism, may require further investigation for designing new drugs.","container-title":"Nutrients","DOI":"10.3390/nu12061860","ISSN":"2072-6643","issue":"6","journalAbbreviation":"Nutrients","language":"en","page":"1860","source":"DOI.org (Crossref)","title":"The Effect of Caffeine on the Risk and Progression of Parkinson’s Disease: A Meta-Analysis","title-short":"The Effect of Caffeine on the Risk and Progression of Parkinson’s Disease","volume":"12","author":[{"family":"Hong","given":"Chien Tai"},{"family":"Chan","given":"Lung"},{"family":"Bai","given":"Chyi-Huey"}],"issued":{"date-parts":[["2020",6,22]]}}},{"id":23,"uris":["http://zotero.org/users/21945073/items/FHT25EYX"],"itemData":{"id":23,"type":"article-journal","abstract":"Objective: To assess effects of caffeine on Parkinson disease (PD).\nMethods: In this multicenter parallel-group controlled trial, patients with PD with 1–8 years disease duration, Hoehn &amp; Yahr stages I–III, on stable symptomatic therapy were randomized to caffeine 200 mg BID vs matching placebo capsules for 6–18 months. The primary research question was whether objective motor scores would differ at 6 months (Movement Disorder Society–sponsored Unified Parkinson’s Disease Rating Scale [MDS-UPDRS]–III, Class I evidence). Secondary outcomes included safety and tolerability, motor symptoms (MDS-UPDRS-II), motor fluctuations, sleep, nonmotor symptoms (MDS-UPDRS-I), cognition (Montreal Cognitive Assessment), and quality of life.\nResults: Sixty patients received caffeine and 61 placebo. Caffeine was well-tolerated with similar prevalence of side effects as placebo. There was no improvement in motor parkinsonism (the primary outcome) with caffeine treatment compared to placebo (difference between groups 20.48 [95% confidence interval 23.21 to 2.25] points on MDS-UPDRS-III). Similarly, on secondary outcomes, there was no change in motor signs or motor symptoms (MDS-UPDRS-II) at any time point, and no difference on quality of life. There was a slight improvement in somnolence over the first 6 months, which attenuated over time. There was a slight increase in dyskinesia with caffeine (MDS-UPDRS4.114.2 5 0.25 points higher), and caffeine was associated with worse cognitive testing scores (average Montreal Cognitive Assessment 5 0.66 [0.01, 1.32] worse than placebo).\nConclusion: Caffeine did not provide clinically important improvement of motor manifestations of PD (Class I evidence). Epidemiologic links between caffeine and lower PD risk do not appear to be explained by symptomatic effects.","container-title":"Neurology","DOI":"10.1212/WNL.0000000000004568","ISSN":"0028-3878, 1526-632X","issue":"17","journalAbbreviation":"Neurology","language":"en","page":"1795-1803","source":"DOI.org (Crossref)","title":"Caffeine as symptomatic treatment for Parkinson disease (Café-PD): A randomized trial","title-short":"Caffeine as symptomatic treatment for Parkinson disease (Café-PD)","volume":"89","author":[{"family":"Postuma","given":"Ronald B."},{"family":"Anang","given":"Julius"},{"family":"Pelletier","given":"Amelie"},{"family":"Joseph","given":"Lawrence"},{"family":"Moscovich","given":"Mariana"},{"family":"Grimes","given":"David"},{"family":"Furtado","given":"Sarah"},{"family":"Munhoz","given":"Renato P."},{"family":"Appel-Cresswell","given":"Silke"},{"family":"Moro","given":"Adriana"},{"family":"Borys","given":"Andrew"},{"family":"Hobson","given":"Douglas"},{"family":"Lang","given":"Anthony E."}],"issued":{"date-parts":[["2017",10,24]]}}}],"schema":"https://github.com/citation-style-language/schema/raw/master/csl-citation.json"} </w:instrText>
      </w:r>
      <w:r w:rsidR="0049328A" w:rsidRPr="0011232A">
        <w:rPr>
          <w:sz w:val="24"/>
          <w:szCs w:val="24"/>
        </w:rPr>
        <w:fldChar w:fldCharType="separate"/>
      </w:r>
      <w:r w:rsidR="00CE16FF" w:rsidRPr="00CE16FF">
        <w:rPr>
          <w:sz w:val="24"/>
        </w:rPr>
        <w:t>[1,10]</w:t>
      </w:r>
      <w:r w:rsidR="0049328A" w:rsidRPr="0011232A">
        <w:rPr>
          <w:sz w:val="24"/>
          <w:szCs w:val="24"/>
        </w:rPr>
        <w:fldChar w:fldCharType="end"/>
      </w:r>
      <w:r>
        <w:rPr>
          <w:sz w:val="24"/>
          <w:szCs w:val="24"/>
        </w:rPr>
        <w:t xml:space="preserve">, o que aponta para um papel sobretudo preventivo. Em Portugal, a questão é relevante dado o envelhecimento da população, com mais de 4,6 milhões de pessoas com 50 ou mais anos </w:t>
      </w:r>
      <w:r>
        <w:rPr>
          <w:sz w:val="24"/>
          <w:szCs w:val="24"/>
        </w:rPr>
        <w:fldChar w:fldCharType="begin"/>
      </w:r>
      <w:r w:rsidR="00CE16FF">
        <w:rPr>
          <w:sz w:val="24"/>
          <w:szCs w:val="24"/>
        </w:rPr>
        <w:instrText xml:space="preserve"> ADDIN ZOTERO_ITEM CSL_CITATION {"citationID":"Ay5AJfGq","properties":{"unsorted":false,"formattedCitation":"[11]","plainCitation":"[11]","noteIndex":0},"citationItems":[{"id":27,"uris":["http://zotero.org/users/21945073/items/TA4EE9S2"],"itemData":{"id":27,"type":"book","collection-number":"2021,def","collection-title":"Censos","ISBN":"978-989-25-0619-7","language":"pt","number-of-pages":"5, 20-21","publisher-place":"Lisboa","source":"K10plus ISBN","title":"Resultados definitivos: Portugal","title-short":"Resultados definitivos","editor":[{"literal":"Instituto Nacional de Estatística"}],"issued":{"date-parts":[["2022"]]}}}],"schema":"https://github.com/citation-style-language/schema/raw/master/csl-citation.json"} </w:instrText>
      </w:r>
      <w:r>
        <w:rPr>
          <w:sz w:val="24"/>
          <w:szCs w:val="24"/>
        </w:rPr>
        <w:fldChar w:fldCharType="separate"/>
      </w:r>
      <w:r w:rsidR="00CE16FF" w:rsidRPr="00CE16FF">
        <w:rPr>
          <w:sz w:val="24"/>
        </w:rPr>
        <w:t>[11]</w:t>
      </w:r>
      <w:r>
        <w:rPr>
          <w:sz w:val="24"/>
          <w:szCs w:val="24"/>
        </w:rPr>
        <w:fldChar w:fldCharType="end"/>
      </w:r>
      <w:r>
        <w:rPr>
          <w:sz w:val="24"/>
          <w:szCs w:val="24"/>
        </w:rPr>
        <w:t xml:space="preserve"> e uma prevalência estimada de DP de 0,24% nesta faixa etária </w:t>
      </w:r>
      <w:r w:rsidR="0013199C">
        <w:rPr>
          <w:sz w:val="24"/>
          <w:szCs w:val="24"/>
        </w:rPr>
        <w:fldChar w:fldCharType="begin"/>
      </w:r>
      <w:r w:rsidR="00CE16FF">
        <w:rPr>
          <w:sz w:val="24"/>
          <w:szCs w:val="24"/>
        </w:rPr>
        <w:instrText xml:space="preserve"> ADDIN ZOTERO_ITEM CSL_CITATION {"citationID":"X6RJmbru","properties":{"unsorted":false,"formattedCitation":"[12]","plainCitation":"[12]","noteIndex":0},"citationItems":[{"id":48,"uris":["http://zotero.org/users/21945073/items/R34BPPEX"],"itemData":{"id":48,"type":"article-journal","abstract":"Background and purpose: Portugal has been identiﬁed as one of the countries with a high prevalence of LRRK2-G2019S, considered to be the most frequent known cause of familial and sporadic Parkinson’s disease (PD). The aim of this study was to evaluate the prevalence of PD in Portugal using a door-todoor methodology.\nMethods: A cross-sectional study was conducted in the Portuguese community-dwelling population; that is, elderly people living in the community on their own, aged ≥50 years and resident in mainland Portugal, in two phases: (i) a questionnaire was applied to screen potential cases of PD; and (ii) screened cases were evaluated by an expert in PD to conﬁrm diagnosis.\nResults: The adjusted prevalence of PD for the Portuguese community-dwelling population aged ≥50 years was 0.24%. The estimated total number of cases of PD for the Portuguese population is 180/100 000 inhabitants.\nConclusions: The results of this study show that a geographical region with a high frequency of a causal mutation for PD does not automatically imply a high prevalence of patients with PD.","container-title":"European Journal of Neurology","DOI":"10.1111/ene.13273","ISSN":"1351-5101, 1468-1331","issue":"5","journalAbbreviation":"Euro J of Neurology","language":"en","page":"748-750","source":"DOI.org (Crossref)","title":"Prevalence of Parkinson's disease: a population</w:instrText>
      </w:r>
      <w:r w:rsidR="00CE16FF">
        <w:rPr>
          <w:rFonts w:ascii="Cambria Math" w:hAnsi="Cambria Math" w:cs="Cambria Math"/>
          <w:sz w:val="24"/>
          <w:szCs w:val="24"/>
        </w:rPr>
        <w:instrText>‐</w:instrText>
      </w:r>
      <w:r w:rsidR="00CE16FF">
        <w:rPr>
          <w:sz w:val="24"/>
          <w:szCs w:val="24"/>
        </w:rPr>
        <w:instrText xml:space="preserve">based study in Portugal","title-short":"Prevalence of Parkinson's disease","volume":"24","author":[{"family":"Ferreira","given":"J. J."},{"family":"Gonçalves","given":"N."},{"family":"Valadas","given":"A."},{"family":"Januário","given":"C."},{"family":"Silva","given":"M. R."},{"family":"Nogueira","given":"L."},{"family":"Vieira","given":"J. L. M."},{"family":"Lima","given":"A. B."}],"issued":{"date-parts":[["2017",5]]}}}],"schema":"https://github.com/citation-style-language/schema/raw/master/csl-citation.json"} </w:instrText>
      </w:r>
      <w:r w:rsidR="0013199C">
        <w:rPr>
          <w:sz w:val="24"/>
          <w:szCs w:val="24"/>
        </w:rPr>
        <w:fldChar w:fldCharType="separate"/>
      </w:r>
      <w:r w:rsidR="00CE16FF" w:rsidRPr="00CE16FF">
        <w:rPr>
          <w:sz w:val="24"/>
        </w:rPr>
        <w:t>[12]</w:t>
      </w:r>
      <w:r w:rsidR="0013199C">
        <w:rPr>
          <w:sz w:val="24"/>
          <w:szCs w:val="24"/>
        </w:rPr>
        <w:fldChar w:fldCharType="end"/>
      </w:r>
      <w:r>
        <w:rPr>
          <w:sz w:val="24"/>
          <w:szCs w:val="24"/>
        </w:rPr>
        <w:t xml:space="preserve">. As definições e os detalhes metodológicos encontram-se no </w:t>
      </w:r>
      <w:hyperlink r:id="rIdAnexo" w:history="1">
        <w:r>
          <w:rPr>
            <w:color w:val="0563C1"/>
            <w:u w:val="single"/>
            <w:sz w:val="24"/>
            <w:szCs w:val="24"/>
          </w:rPr>
          <w:t xml:space="preserve">Anexo</w:t>
        </w:r>
      </w:hyperlink>
      <w:r>
        <w:rPr>
          <w:sz w:val="24"/>
          <w:szCs w:val="24"/>
        </w:rPr>
        <w:t xml:space="preserve">.</w:t>
      </w:r>
    </w:p>
    <w:p>
      <w:pPr>
        <w:numPr>
          <w:ilvl w:val="0"/>
          <w:numId w:val="1"/>
        </w:numPr>
        <w:spacing w:before="360" w:after="120" w:line="360" w:lineRule="auto"/>
        <w:ind w:left="714" w:hanging="357"/>
        <w:jc w:val="both"/>
        <w:outlineLvl w:val="0"/>
        <w:rPr>
          <w:rFonts w:eastAsia="Arial Narrow"/>
          <w:b/>
          <w:bCs/>
          <w:sz w:val="24"/>
          <w:szCs w:val="24"/>
        </w:rPr>
      </w:pPr>
      <w:r>
        <w:rPr>
          <w:b/>
          <w:bCs/>
          <w:sz w:val="24"/>
          <w:szCs w:val="24"/>
        </w:rPr>
        <w:t xml:space="preserve">Objetivo</w:t>
      </w:r>
    </w:p>
    <w:p>
      <w:pPr>
        <w:spacing w:line="360" w:lineRule="auto"/>
        <w:ind w:firstLine="284"/>
        <w:jc w:val="both"/>
        <w:rPr>
          <w:sz w:val="24"/>
          <w:szCs w:val="24"/>
        </w:rPr>
      </w:pPr>
      <w:r>
        <w:rPr>
          <w:sz w:val="24"/>
          <w:szCs w:val="24"/>
        </w:rPr>
        <w:t xml:space="preserve">Avaliar a associação entre o consumo habitual prévio de cafeína e a ocorrência de DP e, secundariamente, a existência de uma relação dose-resposta e de modificação de efeito pelo tabagismo e pelo sexo. H</w:t>
      </w:r>
      <w:r>
        <w:rPr>
          <w:sz w:val="24"/>
          <w:szCs w:val="24"/>
          <w:vertAlign w:val="subscript"/>
        </w:rPr>
        <w:t xml:space="preserve">0</w:t>
      </w:r>
      <w:r>
        <w:rPr>
          <w:sz w:val="24"/>
          <w:szCs w:val="24"/>
        </w:rPr>
        <w:t xml:space="preserve">: o consumo habitual de cafeína não está associado ao risco de DP (OR = 1); H</w:t>
      </w:r>
      <w:r>
        <w:rPr>
          <w:sz w:val="24"/>
          <w:szCs w:val="24"/>
          <w:vertAlign w:val="subscript"/>
        </w:rPr>
        <w:t xml:space="preserve">1</w:t>
      </w:r>
      <w:r>
        <w:rPr>
          <w:sz w:val="24"/>
          <w:szCs w:val="24"/>
        </w:rPr>
        <w:t xml:space="preserve">: está associado (OR ≠ 1), esperando-se um efeito protetor.</w:t>
      </w:r>
    </w:p>
    <w:p>
      <w:pPr>
        <w:spacing w:line="360" w:lineRule="auto"/>
        <w:ind w:firstLine="284"/>
        <w:jc w:val="both"/>
        <w:rPr>
          <w:sz w:val="24"/>
          <w:szCs w:val="24"/>
        </w:rPr>
      </w:pPr>
      <w:r>
        <w:rPr>
          <w:b/>
          <w:bCs/>
          <w:sz w:val="24"/>
          <w:szCs w:val="24"/>
        </w:rPr>
        <w:t xml:space="preserve">Pergunta PICO:</w:t>
      </w:r>
      <w:r>
        <w:rPr>
          <w:sz w:val="24"/>
          <w:szCs w:val="24"/>
        </w:rPr>
        <w:t xml:space="preserve"> em adultos com 50 ou mais anos seguidos nas ULS de Santo António e de São João (P), o consumo habitual de cafeína nos 5 a 10 anos anteriores ao início dos sintomas (I), comparativamente a um consumo nulo ou baixo (C), está associado a um menor risco de DP (O)?</w:t>
      </w:r>
    </w:p>
    <w:p>
      <w:pPr>
        <w:numPr>
          <w:ilvl w:val="0"/>
          <w:numId w:val="1"/>
        </w:numPr>
        <w:spacing w:before="360" w:after="120" w:line="360" w:lineRule="auto"/>
        <w:ind w:left="714" w:hanging="357"/>
        <w:jc w:val="both"/>
        <w:outlineLvl w:val="0"/>
        <w:rPr>
          <w:rFonts w:eastAsia="Arial Narrow"/>
          <w:b/>
          <w:bCs/>
          <w:sz w:val="24"/>
          <w:szCs w:val="24"/>
        </w:rPr>
      </w:pPr>
      <w:r>
        <w:rPr>
          <w:b/>
          <w:bCs/>
          <w:sz w:val="24"/>
          <w:szCs w:val="24"/>
        </w:rPr>
        <w:t xml:space="preserve">Metodologia</w:t>
      </w:r>
    </w:p>
    <w:p>
      <w:pPr>
        <w:numPr>
          <w:ilvl w:val="1"/>
          <w:numId w:val="1"/>
        </w:numPr>
        <w:spacing w:before="240" w:after="120" w:line="360" w:lineRule="auto"/>
        <w:ind w:left="1021" w:hanging="567"/>
        <w:jc w:val="both"/>
        <w:outlineLvl w:val="1"/>
        <w:rPr>
          <w:rFonts w:eastAsia="Arial Narrow"/>
          <w:b/>
          <w:bCs/>
          <w:sz w:val="24"/>
          <w:szCs w:val="24"/>
        </w:rPr>
      </w:pPr>
      <w:r>
        <w:rPr>
          <w:b/>
          <w:bCs/>
          <w:sz w:val="24"/>
          <w:szCs w:val="24"/>
        </w:rPr>
        <w:t xml:space="preserve">Desenho e população do estudo</w:t>
      </w:r>
    </w:p>
    <w:p>
      <w:pPr>
        <w:spacing w:line="360" w:lineRule="auto"/>
        <w:ind w:firstLine="284"/>
        <w:jc w:val="both"/>
        <w:rPr>
          <w:sz w:val="24"/>
          <w:szCs w:val="24"/>
        </w:rPr>
      </w:pPr>
      <w:r>
        <w:rPr>
          <w:sz w:val="24"/>
          <w:szCs w:val="24"/>
        </w:rPr>
        <w:t xml:space="preserve">Estudo caso-controlo multicêntrico, emparelhado 1:1 por sexo e idade (±3 anos), nas Unidades Locais de Saúde (ULS) de Santo António e de São João. </w:t>
      </w:r>
      <w:r>
        <w:rPr>
          <w:b/>
          <w:bCs/>
          <w:sz w:val="24"/>
          <w:szCs w:val="24"/>
        </w:rPr>
        <w:t xml:space="preserve">Casos:</w:t>
      </w:r>
      <w:r>
        <w:rPr>
          <w:sz w:val="24"/>
          <w:szCs w:val="24"/>
        </w:rPr>
        <w:t xml:space="preserve"> doentes com 50 ou mais anos e diagnóstico incidente de DP (há menos de 2 anos), confirmado por neurologista nas ULS participantes. O limite de idade exclui as formas de início precoce, com maior componente genética </w:t>
      </w:r>
      <w:r w:rsidR="0049328A" w:rsidRPr="0011232A">
        <w:rPr>
          <w:rFonts w:eastAsia="Arial Narrow"/>
          <w:sz w:val="24"/>
          <w:szCs w:val="24"/>
        </w:rPr>
        <w:fldChar w:fldCharType="begin"/>
      </w:r>
      <w:r w:rsidR="0049328A" w:rsidRPr="0011232A">
        <w:rPr>
          <w:rFonts w:eastAsia="Arial Narrow"/>
          <w:sz w:val="24"/>
          <w:szCs w:val="24"/>
        </w:rPr>
        <w:instrText xml:space="preserve"> ADDIN ZOTERO_ITEM CSL_CITATION {"citationID":"qc5IYgyG","properties":{"unsorted":false,"formattedCitation":"[2]","plainCitation":"[2]","noteIndex":0},"citationItems":[{"id":4,"uris":["http://zotero.org/users/local/LvC0uRfo/items/NAP98GG7","http://zotero.org/users/21945073/items/NAP98GG7"],"itemData":{"id":4,"type":"article-journal","abstract":"Parkinson’s disease may be caused by a single pathogenic variant (monogenic) in 5–10% of cases, but investigation of these disorders provides valuable pathophysiological insights. In this review, we discuss each genetic form with a focus on genotype, phenotype, pathophysiology, and the geographic and ethnic distribution. Well-established Parkinson’s disease genes include autosomal dominant forms (SNCA, LRRK2, and VPS35) and autosomal recessive forms (PRKN, PINK1 and DJ1). Furthermore, mutations in the GBA gene are a key risk factor for Parkinson’s disease, and there have been major developments for X-linked dystonia parkinsonism. Moreover, atypical or complex parkinsonism may be due to mutations in genes such as ATP13A2, DCTN1, DNAJC6, FBXO7, PLA2G6, and SYNJ1. Furthermore, numerous genes have recently been implicated in Parkinson’s disease, such as CHCHD2, LRP10, TMEM230, UQCRC1, and VPS13C. Additionally, we discuss the role of heterozygous mutations in autosomal recessive genes, the effect of having mutations in two Parkinson’s disease genes, the outcome of deep brain stimulation, and the role of genetic testing. We highlight that monogenic Parkinson’s disease is influenced by ethnicity and geographical differences, reinforcing the need for global efforts to pool large numbers of patients and identify novel candidate genes.","container-title":"Genes","DOI":"10.3390/genes13030471","ISSN":"2073-4425","issue":"3","language":"en","license":"https://creativecommons.org/licenses/by/3.0/","page":"471","publisher":"Multidisciplinary Digital Publishing Institute","source":"www.mdpi.com","title":"Monogenic Parkinson’s Disease: Genotype, Phenotype, Pathophysiology, and Genetic Testing","title-short":"Monogenic Parkinson’s Disease","volume":"13","author":[{"family":"Jia","given":"Fangzhi"},{"family":"Fellner","given":"Avi"},{"family":"Kumar","given":"Kishore Raj"}],"issued":{"date-parts":[["2022",3]]}}}],"schema":"https://github.com/citation-style-language/schema/raw/master/csl-citation.json"} </w:instrText>
      </w:r>
      <w:r w:rsidR="0049328A" w:rsidRPr="0011232A">
        <w:rPr>
          <w:rFonts w:eastAsia="Arial Narrow"/>
          <w:sz w:val="24"/>
          <w:szCs w:val="24"/>
        </w:rPr>
        <w:fldChar w:fldCharType="separate"/>
      </w:r>
      <w:r w:rsidR="0049328A" w:rsidRPr="0011232A">
        <w:rPr>
          <w:sz w:val="24"/>
        </w:rPr>
        <w:t>[2]</w:t>
      </w:r>
      <w:r w:rsidR="0049328A" w:rsidRPr="0011232A">
        <w:rPr>
          <w:rFonts w:eastAsia="Arial Narrow"/>
          <w:sz w:val="24"/>
          <w:szCs w:val="24"/>
        </w:rPr>
        <w:fldChar w:fldCharType="end"/>
      </w:r>
      <w:r>
        <w:rPr>
          <w:sz w:val="24"/>
          <w:szCs w:val="24"/>
        </w:rPr>
        <w:t xml:space="preserve">, e permite estudar a janela prodrómica de 5 a 10 anos antes dos sintomas motores </w:t>
      </w:r>
      <w:r w:rsidR="0049328A" w:rsidRPr="0011232A">
        <w:rPr>
          <w:sz w:val="24"/>
          <w:szCs w:val="24"/>
        </w:rPr>
        <w:fldChar w:fldCharType="begin"/>
      </w:r>
      <w:r w:rsidR="0049328A" w:rsidRPr="0011232A">
        <w:rPr>
          <w:sz w:val="24"/>
          <w:szCs w:val="24"/>
        </w:rPr>
        <w:instrText xml:space="preserve"> ADDIN ZOTERO_ITEM CSL_CITATION {"citationID":"LBmPIIwJ","properties":{"unsorted":false,"formattedCitation":"[1]","plainCitation":"[1]","noteIndex":0},"citationItems":[{"id":25,"uris":["http://zotero.org/users/local/LvC0uRfo/items/F52TYJYS","http://zotero.org/users/21945073/items/F52TYJYS"],"itemData":{"id":25,"type":"article-journal","abstract":"Coﬀee and caﬀeine are speculated to be associated with the reduced risk of Parkinson’s disease (PD). The present study aimed to investigate the disease-modifying potential of caﬀeine on PD, either for healthy people or patients, through a meta-analysis. The electronic databases were searched using terms related to PD and coﬀee and caﬀeinated food products. Articles were included only upon fulﬁllment of clear diagnostic criteria for PD and details regarding their caﬀeine content. Reference lists of relevant articles were reviewed to identify eligible studies not shortlisted using these terms. In total, the present study enrolled 13 studies, nine were categorized into a healthy cohort and the rest into a PD cohort. The individuals in the healthy cohort with regular caﬀeine consumption had a signiﬁcantly lower risk of PD during follow-up evaluation (hazard ratio (HR) = 0.797, 95% CI = 0.748–0.849, p &lt; 0.001). The outcomes of disease progression in PD cohorts included dyskinesia, motor ﬂuctuation, symptom onset, and levodopa initiation. Individuals consuming caﬀeine presented a signiﬁcantly lower rate of PD progression (HR = 0.834, 95% CI = 0.707–0.984, p = 0.03). In conclusion, caﬀeine modiﬁed disease risk and progression in PD, among both healthy individuals or those with PD. Potential biological beneﬁts, such as those obtained from adenosine 2A receptor antagonism, may require further investigation for designing new drugs.","container-title":"Nutrients","DOI":"10.3390/nu12061860","ISSN":"2072-6643","issue":"6","journalAbbreviation":"Nutrients","language":"en","page":"1860","source":"DOI.org (Crossref)","title":"The Effect of Caffeine on the Risk and Progression of Parkinson’s Disease: A Meta-Analysis","title-short":"The Effect of Caffeine on the Risk and Progression of Parkinson’s Disease","volume":"12","author":[{"family":"Hong","given":"Chien Tai"},{"family":"Chan","given":"Lung"},{"family":"Bai","given":"Chyi-Huey"}],"issued":{"date-parts":[["2020",6,22]]}}}],"schema":"https://github.com/citation-style-language/schema/raw/master/csl-citation.json"} </w:instrText>
      </w:r>
      <w:r w:rsidR="0049328A" w:rsidRPr="0011232A">
        <w:rPr>
          <w:sz w:val="24"/>
          <w:szCs w:val="24"/>
        </w:rPr>
        <w:fldChar w:fldCharType="separate"/>
      </w:r>
      <w:r w:rsidR="0049328A" w:rsidRPr="0011232A">
        <w:rPr>
          <w:sz w:val="24"/>
        </w:rPr>
        <w:t>[1]</w:t>
      </w:r>
      <w:r w:rsidR="0049328A" w:rsidRPr="0011232A">
        <w:rPr>
          <w:sz w:val="24"/>
          <w:szCs w:val="24"/>
        </w:rPr>
        <w:fldChar w:fldCharType="end"/>
      </w:r>
      <w:r>
        <w:rPr>
          <w:sz w:val="24"/>
          <w:szCs w:val="24"/>
        </w:rPr>
        <w:t xml:space="preserve">.</w:t>
      </w:r>
    </w:p>
    <w:p>
      <w:pPr>
        <w:spacing w:line="360" w:lineRule="auto"/>
        <w:ind w:firstLine="284"/>
        <w:jc w:val="both"/>
        <w:rPr>
          <w:sz w:val="24"/>
          <w:szCs w:val="24"/>
        </w:rPr>
      </w:pPr>
      <w:r>
        <w:rPr>
          <w:b/>
          <w:bCs/>
          <w:sz w:val="24"/>
          <w:szCs w:val="24"/>
        </w:rPr>
        <w:t xml:space="preserve">Controlos:</w:t>
      </w:r>
      <w:r>
        <w:rPr>
          <w:sz w:val="24"/>
          <w:szCs w:val="24"/>
        </w:rPr>
        <w:t xml:space="preserve"> utentes das mesmas ULS sem DP, de consultas externas (por exemplo, ortopedia ou oftalmologia) ou internamento programado. Serão excluídos indivíduos com diagnóstico ou suspeita de DP, parkinsonismo secundário ou outra doença neurodegenerativa, bem como aqueles cujo motivo de consulta esteja relacionado com o consumo de cafeína (por exemplo, doenças gastrointestinais, cardiovasculares ou do sono). Todos os participantes deverão ter capacidade para responder ao questionário e consentir.</w:t>
      </w:r>
    </w:p>
    <w:p>
      <w:pPr>
        <w:numPr>
          <w:ilvl w:val="1"/>
          <w:numId w:val="1"/>
        </w:numPr>
        <w:spacing w:before="240" w:after="120" w:line="360" w:lineRule="auto"/>
        <w:ind w:left="1021" w:hanging="567"/>
        <w:jc w:val="both"/>
        <w:outlineLvl w:val="1"/>
        <w:rPr>
          <w:rFonts w:eastAsia="Arial Narrow"/>
          <w:b/>
          <w:bCs/>
          <w:sz w:val="24"/>
          <w:szCs w:val="24"/>
        </w:rPr>
      </w:pPr>
      <w:r>
        <w:rPr>
          <w:b/>
          <w:bCs/>
          <w:sz w:val="24"/>
          <w:szCs w:val="24"/>
        </w:rPr>
        <w:t xml:space="preserve">Cálculo do tamanho amostral</w:t>
      </w:r>
    </w:p>
    <w:p>
      <w:pPr>
        <w:spacing w:line="360" w:lineRule="auto"/>
        <w:ind w:firstLine="284"/>
        <w:jc w:val="both"/>
        <w:rPr>
          <w:sz w:val="24"/>
          <w:szCs w:val="24"/>
        </w:rPr>
      </w:pPr>
      <w:r>
        <w:rPr>
          <w:sz w:val="24"/>
          <w:szCs w:val="24"/>
        </w:rPr>
        <w:t xml:space="preserve">O tamanho amostral foi calculado pelo método de Dupont para dados emparelhados </w:t>
      </w:r>
      <w:r w:rsidR="000E1CD5">
        <w:rPr>
          <w:rFonts w:eastAsia="Arial Narrow"/>
          <w:sz w:val="24"/>
          <w:szCs w:val="24"/>
        </w:rPr>
        <w:fldChar w:fldCharType="begin"/>
      </w:r>
      <w:r w:rsidR="00CE16FF">
        <w:rPr>
          <w:rFonts w:eastAsia="Arial Narrow"/>
          <w:sz w:val="24"/>
          <w:szCs w:val="24"/>
        </w:rPr>
        <w:instrText xml:space="preserve"> ADDIN ZOTERO_ITEM CSL_CITATION {"citationID":"D7bCiYJA","properties":{"unsorted":false,"formattedCitation":"[13]","plainCitation":"[13]","noteIndex":0},"citationItems":[{"id":51,"uris":["http://zotero.org/users/21945073/items/3UKXAW5K"],"itemData":{"id":51,"type":"article-magazine","container-title":"Biometrics","DOI":"10.2307/2531743","issue":"4","page":"1157-1168","title":"Power calculations for matched case-control studies","volume":"44","author":[{"family":"Dupont","given":"William D."}],"issued":{"date-parts":[["1988"]]}}}],"schema":"https://github.com/citation-style-language/schema/raw/master/csl-citation.json"} </w:instrText>
      </w:r>
      <w:r w:rsidR="000E1CD5">
        <w:rPr>
          <w:rFonts w:eastAsia="Arial Narrow"/>
          <w:sz w:val="24"/>
          <w:szCs w:val="24"/>
        </w:rPr>
        <w:fldChar w:fldCharType="separate"/>
      </w:r>
      <w:r w:rsidR="00CE16FF" w:rsidRPr="00CE16FF">
        <w:rPr>
          <w:sz w:val="24"/>
        </w:rPr>
        <w:t>[13]</w:t>
      </w:r>
      <w:r w:rsidR="000E1CD5">
        <w:rPr>
          <w:rFonts w:eastAsia="Arial Narrow"/>
          <w:sz w:val="24"/>
          <w:szCs w:val="24"/>
        </w:rPr>
        <w:fldChar w:fldCharType="end"/>
      </w:r>
      <w:r>
        <w:rPr>
          <w:sz w:val="24"/>
          <w:szCs w:val="24"/>
        </w:rPr>
        <w:t xml:space="preserve">, assumindo α = 0,05 (bicaudal), poder de 80%, OR = 0,75 </w:t>
      </w:r>
      <w:r w:rsidR="0010069A">
        <w:rPr>
          <w:rFonts w:eastAsia="Arial Narrow"/>
          <w:sz w:val="24"/>
          <w:szCs w:val="24"/>
        </w:rPr>
        <w:fldChar w:fldCharType="begin"/>
      </w:r>
      <w:r w:rsidR="00CE16FF">
        <w:rPr>
          <w:rFonts w:eastAsia="Arial Narrow"/>
          <w:sz w:val="24"/>
          <w:szCs w:val="24"/>
        </w:rPr>
        <w:instrText xml:space="preserve"> ADDIN ZOTERO_ITEM CSL_CITATION {"citationID":"xgWKbB6j","properties":{"unsorted":false,"formattedCitation":"[1,9]","plainCitation":"[1,9]","noteIndex":0},"citationItems":[{"id":25,"uris":["http://zotero.org/users/local/LvC0uRfo/items/F52TYJYS","http://zotero.org/users/21945073/items/F52TYJYS"],"itemData":{"id":25,"type":"article-journal","abstract":"Coﬀee and caﬀeine are speculated to be associated with the reduced risk of Parkinson’s disease (PD). The present study aimed to investigate the disease-modifying potential of caﬀeine on PD, either for healthy people or patients, through a meta-analysis. The electronic databases were searched using terms related to PD and coﬀee and caﬀeinated food products. Articles were included only upon fulﬁllment of clear diagnostic criteria for PD and details regarding their caﬀeine content. Reference lists of relevant articles were reviewed to identify eligible studies not shortlisted using these terms. In total, the present study enrolled 13 studies, nine were categorized into a healthy cohort and the rest into a PD cohort. The individuals in the healthy cohort with regular caﬀeine consumption had a signiﬁcantly lower risk of PD during follow-up evaluation (hazard ratio (HR) = 0.797, 95% CI = 0.748–0.849, p &lt; 0.001). The outcomes of disease progression in PD cohorts included dyskinesia, motor ﬂuctuation, symptom onset, and levodopa initiation. Individuals consuming caﬀeine presented a signiﬁcantly lower rate of PD progression (HR = 0.834, 95% CI = 0.707–0.984, p = 0.03). In conclusion, caﬀeine modiﬁed disease risk and progression in PD, among both healthy individuals or those with PD. Potential biological beneﬁts, such as those obtained from adenosine 2A receptor antagonism, may require further investigation for designing new drugs.","container-title":"Nutrients","DOI":"10.3390/nu12061860","ISSN":"2072-6643","issue":"6","journalAbbreviation":"Nutrients","language":"en","page":"1860","source":"DOI.org (Crossref)","title":"The Effect of Caffeine on the Risk and Progression of Parkinson’s Disease: A Meta-Analysis","title-short":"The Effect of Caffeine on the Risk and Progression of Parkinson’s Disease","volume":"12","author":[{"family":"Hong","given":"Chien Tai"},{"family":"Chan","given":"Lung"},{"family":"Bai","given":"Chyi-Huey"}],"issued":{"date-parts":[["2020",6,22]]}}},{"id":20,"uris":["http://zotero.org/users/21945073/items/4F8GMPTR"],"itemData":{"id":20,"type":"article-journal","abstract":"Several studies conducted worldwide report an inverse association between caffeine/coffee consumption and the risk of developing Parkinson’s disease (PD). However, heterogeneity and conﬂicting results between studies preclude a correct estimation of the strength of this association. We conducted a systematic review and meta-analysis of published epidemiological studies to better estimate the effect of caffeine exposure on the incidence of PD. Data sources searched included Medline, LILACS, Scopus, Web of Science and reference lists, up to September 2009. Cohort, case-control and cross-sectional studies were included. Three independent reviewers selected the studies and extracted the data on to standardized forms. Twenty-six studies were included: 7 cohort, 2 nested case-control, 16 case-control, and 1 cross-sectional study. Quantitative data synthesis of the most precise estimates from each study was accomplished through random effects meta-analysis. Heterogeneity was quantiﬁed using the I2 statistic. The summary RR for the association between caffeine intake and PD was 0.75 [95% Conﬁdence Interval (95%CI): 0.68–0.82], with low to moderate heterogeneity (I2 = 28.8%). Publication bias for case-control/cross-sectional studies may exist (Egger’s test, p = 0.053). When considering only the cohort studies, the RR was 0.80 (95%CI: 0.71–90; I2 = 8.1%). The negative association was weaker when only women were considered (RR = 0.86, 95%CI: 0.73–1.02; I2 = 12.9%). A linear relation was observed between levels of exposure to caffeine and the RR estimates: RR of 0.76 (95%CI: 0.72–0.80; I2 = 35.1%) per 300 mg increase in caffeine intake. This study conﬁrm an inverse association between caffeine intake and the risk of PD, which can hardly by explained by bias or uncontrolled confounding.","container-title":"Journal of Alzheimer's Disease","DOI":"10.3233/JAD-2010-091525","ISSN":"18758908, 13872877","issue":"s1","journalAbbreviation":"JAD","language":"en","license":"http://creativecommons.org/licenses/by-nc/4.0/","page":"S221-S238","source":"DOI.org (Crossref)","title":"Caffeine Exposure and the Risk of Parkinson's Disease: A Systematic Review and Meta-Analysis of Observational Studiess","title-short":"Caffeine Exposure and the Risk of Parkinson's Disease","volume":"20","author":[{"family":"Costa","given":"João"},{"family":"Lunet","given":"Nuno"},{"family":"Santos","given":"Catarina"},{"family":"Santos","given":"João"},{"family":"Vaz-Carneiro","given":"António"}],"editor":[{"family":"Cunha","given":"Rodrigo A."},{"family":"De Mendonça","given":"Alexandre"}],"issued":{"date-parts":[["2010",4,14]]}}}],"schema":"https://github.com/citation-style-language/schema/raw/master/csl-citation.json"} </w:instrText>
      </w:r>
      <w:r w:rsidR="0010069A">
        <w:rPr>
          <w:rFonts w:eastAsia="Arial Narrow"/>
          <w:sz w:val="24"/>
          <w:szCs w:val="24"/>
        </w:rPr>
        <w:fldChar w:fldCharType="separate"/>
      </w:r>
      <w:r w:rsidR="00CE16FF" w:rsidRPr="00CE16FF">
        <w:rPr>
          <w:sz w:val="24"/>
        </w:rPr>
        <w:t>[1,9]</w:t>
      </w:r>
      <w:r w:rsidR="0010069A">
        <w:rPr>
          <w:rFonts w:eastAsia="Arial Narrow"/>
          <w:sz w:val="24"/>
          <w:szCs w:val="24"/>
        </w:rPr>
        <w:fldChar w:fldCharType="end"/>
      </w:r>
      <w:r>
        <w:rPr>
          <w:sz w:val="24"/>
          <w:szCs w:val="24"/>
        </w:rPr>
        <w:t xml:space="preserve">, prevalência de consumo habitual de café nos controlos de 80% </w:t>
      </w:r>
      <w:r w:rsidR="0010069A">
        <w:rPr>
          <w:rFonts w:eastAsia="Arial Narrow"/>
          <w:sz w:val="24"/>
          <w:szCs w:val="24"/>
        </w:rPr>
        <w:fldChar w:fldCharType="begin"/>
      </w:r>
      <w:r w:rsidR="00CE16FF">
        <w:rPr>
          <w:rFonts w:eastAsia="Arial Narrow"/>
          <w:sz w:val="24"/>
          <w:szCs w:val="24"/>
        </w:rPr>
        <w:instrText xml:space="preserve"> ADDIN ZOTERO_ITEM CSL_CITATION {"citationID":"vt68VQIk","properties":{"unsorted":false,"formattedCitation":"[14]","plainCitation":"[14]","noteIndex":0},"citationItems":[{"id":38,"uris":["http://zotero.org/users/21945073/items/RNTSBAGG"],"itemData":{"id":38,"type":"report","ISBN":"978-989-746-181-1","language":"pt","page":"41-2","publisher-place":"Porto","source":"Zotero","title":"Inquérito Alimentar Nacional e de Atividade Física, IAN-AF 2015-2016: Relatório de resultados","URL":"https://ian-af.up.pt/sites/default/files/IAN-AF%20Relat%C3%B3rio%20Resultados_0.pdf","author":[{"family":"Lopes","given":"Carla"},{"family":"Torres","given":"Duarte"},{"family":"Oliveira","given":"Andreia"},{"family":"Severo","given":"Milton"},{"family":"Alarcão","given":"Violeta"},{"family":"Guiomar","given":"Sofia"},{"family":"Mota","given":"Jorge"},{"family":"Teixeira","given":"Pedro"},{"family":"Rodrigues","given":"Sara"},{"family":"Lobato","given":"Liliane"},{"family":"Magalhães","given":"Vânia"},{"family":"Correia","given":"Daniela"},{"family":"Carvalho","given":"Catarina"},{"family":"Pizarro","given":"Andreia"},{"family":"Marques","given":"Adilson"},{"family":"Vilela","given":"Sofia"},{"family":"Oliveira","given":"Luísa"},{"family":"Nicola","given":"Paulo"},{"family":"Soares","given":"Simão"},{"family":"Ramos","given":"Elisabete"}],"issued":{"date-parts":[["2017"]]}}}],"schema":"https://github.com/citation-style-language/schema/raw/master/csl-citation.json"} </w:instrText>
      </w:r>
      <w:r w:rsidR="0010069A">
        <w:rPr>
          <w:rFonts w:eastAsia="Arial Narrow"/>
          <w:sz w:val="24"/>
          <w:szCs w:val="24"/>
        </w:rPr>
        <w:fldChar w:fldCharType="separate"/>
      </w:r>
      <w:r w:rsidR="00CE16FF" w:rsidRPr="00CE16FF">
        <w:rPr>
          <w:sz w:val="24"/>
        </w:rPr>
        <w:t>[14]</w:t>
      </w:r>
      <w:r w:rsidR="0010069A">
        <w:rPr>
          <w:rFonts w:eastAsia="Arial Narrow"/>
          <w:sz w:val="24"/>
          <w:szCs w:val="24"/>
        </w:rPr>
        <w:fldChar w:fldCharType="end"/>
      </w:r>
      <w:r>
        <w:rPr>
          <w:sz w:val="24"/>
          <w:szCs w:val="24"/>
        </w:rPr>
        <w:t xml:space="preserve"> e correlação de exposição entre pares de 0,20. São necessários cerca de 1360 pares (2720 participantes; cálculo detalhado no </w:t>
      </w:r>
      <w:hyperlink r:id="rIdAnexo" w:history="1">
        <w:r>
          <w:rPr>
            <w:color w:val="0563C1"/>
            <w:u w:val="single"/>
            <w:sz w:val="24"/>
            <w:szCs w:val="24"/>
          </w:rPr>
          <w:t xml:space="preserve">Anexo</w:t>
        </w:r>
      </w:hyperlink>
      <w:r>
        <w:rPr>
          <w:sz w:val="24"/>
          <w:szCs w:val="24"/>
        </w:rPr>
        <w:t xml:space="preserve">). Prevendo uma participação de 70% a 80%, o recrutamento decorrerá até atingir esta meta.</w:t>
      </w:r>
    </w:p>
    <w:p>
      <w:pPr>
        <w:numPr>
          <w:ilvl w:val="1"/>
          <w:numId w:val="1"/>
        </w:numPr>
        <w:spacing w:before="240" w:after="120" w:line="360" w:lineRule="auto"/>
        <w:ind w:left="1021" w:hanging="567"/>
        <w:jc w:val="both"/>
        <w:outlineLvl w:val="1"/>
        <w:rPr>
          <w:rFonts w:eastAsia="Arial Narrow"/>
          <w:b/>
          <w:bCs/>
          <w:sz w:val="24"/>
          <w:szCs w:val="24"/>
        </w:rPr>
      </w:pPr>
      <w:r>
        <w:rPr>
          <w:b/>
          <w:bCs/>
          <w:sz w:val="24"/>
          <w:szCs w:val="24"/>
        </w:rPr>
        <w:t xml:space="preserve">Avaliação da exposição</w:t>
      </w:r>
    </w:p>
    <w:p>
      <w:pPr>
        <w:spacing w:line="360" w:lineRule="auto"/>
        <w:ind w:firstLine="284"/>
        <w:jc w:val="both"/>
        <w:rPr>
          <w:sz w:val="24"/>
          <w:szCs w:val="24"/>
        </w:rPr>
      </w:pPr>
      <w:r>
        <w:rPr>
          <w:sz w:val="24"/>
          <w:szCs w:val="24"/>
        </w:rPr>
        <w:t xml:space="preserve">Um questionário de frequência alimentar, aplicado por entrevistador treinado a casos e controlos, avaliará o consumo habitual de café (expresso, filtro, galão), chá e bebidas energéticas nos 5 a 10 anos anteriores ao início dos sintomas nos casos, ou no período homólogo do respetivo par nos controlos, para evitar que alterações prodrómicas modifiquem os hábitos </w:t>
      </w:r>
      <w:r w:rsidR="0049328A" w:rsidRPr="0011232A">
        <w:rPr>
          <w:rFonts w:eastAsia="Arial Narrow"/>
          <w:sz w:val="24"/>
          <w:szCs w:val="24"/>
        </w:rPr>
        <w:fldChar w:fldCharType="begin"/>
      </w:r>
      <w:r w:rsidR="0049328A" w:rsidRPr="0011232A">
        <w:rPr>
          <w:rFonts w:eastAsia="Arial Narrow"/>
          <w:sz w:val="24"/>
          <w:szCs w:val="24"/>
        </w:rPr>
        <w:instrText xml:space="preserve"> ADDIN ZOTERO_ITEM CSL_CITATION {"citationID":"mgri1O8E","properties":{"unsorted":false,"formattedCitation":"[1]","plainCitation":"[1]","noteIndex":0},"citationItems":[{"id":25,"uris":["http://zotero.org/users/local/LvC0uRfo/items/F52TYJYS","http://zotero.org/users/21945073/items/F52TYJYS"],"itemData":{"id":25,"type":"article-journal","abstract":"Coﬀee and caﬀeine are speculated to be associated with the reduced risk of Parkinson’s disease (PD). The present study aimed to investigate the disease-modifying potential of caﬀeine on PD, either for healthy people or patients, through a meta-analysis. The electronic databases were searched using terms related to PD and coﬀee and caﬀeinated food products. Articles were included only upon fulﬁllment of clear diagnostic criteria for PD and details regarding their caﬀeine content. Reference lists of relevant articles were reviewed to identify eligible studies not shortlisted using these terms. In total, the present study enrolled 13 studies, nine were categorized into a healthy cohort and the rest into a PD cohort. The individuals in the healthy cohort with regular caﬀeine consumption had a signiﬁcantly lower risk of PD during follow-up evaluation (hazard ratio (HR) = 0.797, 95% CI = 0.748–0.849, p &lt; 0.001). The outcomes of disease progression in PD cohorts included dyskinesia, motor ﬂuctuation, symptom onset, and levodopa initiation. Individuals consuming caﬀeine presented a signiﬁcantly lower rate of PD progression (HR = 0.834, 95% CI = 0.707–0.984, p = 0.03). In conclusion, caﬀeine modiﬁed disease risk and progression in PD, among both healthy individuals or those with PD. Potential biological beneﬁts, such as those obtained from adenosine 2A receptor antagonism, may require further investigation for designing new drugs.","container-title":"Nutrients","DOI":"10.3390/nu12061860","ISSN":"2072-6643","issue":"6","journalAbbreviation":"Nutrients","language":"en","page":"1860","source":"DOI.org (Crossref)","title":"The Effect of Caffeine on the Risk and Progression of Parkinson’s Disease: A Meta-Analysis","title-short":"The Effect of Caffeine on the Risk and Progression of Parkinson’s Disease","volume":"12","author":[{"family":"Hong","given":"Chien Tai"},{"family":"Chan","given":"Lung"},{"family":"Bai","given":"Chyi-Huey"}],"issued":{"date-parts":[["2020",6,22]]}}}],"schema":"https://github.com/citation-style-language/schema/raw/master/csl-citation.json"} </w:instrText>
      </w:r>
      <w:r w:rsidR="0049328A" w:rsidRPr="0011232A">
        <w:rPr>
          <w:rFonts w:eastAsia="Arial Narrow"/>
          <w:sz w:val="24"/>
          <w:szCs w:val="24"/>
        </w:rPr>
        <w:fldChar w:fldCharType="separate"/>
      </w:r>
      <w:r w:rsidR="0049328A" w:rsidRPr="0011232A">
        <w:rPr>
          <w:sz w:val="24"/>
        </w:rPr>
        <w:t>[1]</w:t>
      </w:r>
      <w:r w:rsidR="0049328A" w:rsidRPr="0011232A">
        <w:rPr>
          <w:rFonts w:eastAsia="Arial Narrow"/>
          <w:sz w:val="24"/>
          <w:szCs w:val="24"/>
        </w:rPr>
        <w:fldChar w:fldCharType="end"/>
      </w:r>
      <w:r>
        <w:rPr>
          <w:sz w:val="24"/>
          <w:szCs w:val="24"/>
        </w:rPr>
        <w:t xml:space="preserve">.</w:t>
      </w:r>
    </w:p>
    <w:p>
      <w:pPr>
        <w:spacing w:line="360" w:lineRule="auto"/>
        <w:ind w:firstLine="284"/>
        <w:jc w:val="both"/>
        <w:rPr>
          <w:sz w:val="24"/>
          <w:szCs w:val="24"/>
        </w:rPr>
      </w:pPr>
      <w:r>
        <w:rPr>
          <w:sz w:val="24"/>
          <w:szCs w:val="24"/>
        </w:rPr>
        <w:t xml:space="preserve">O consumo será convertido em mg de cafeína/dia com teores médios fixos por bebida, como cerca de 100 mg por expresso </w:t>
      </w:r>
      <w:r w:rsidR="00677B54">
        <w:rPr>
          <w:rFonts w:eastAsia="Arial Narrow"/>
          <w:sz w:val="24"/>
          <w:szCs w:val="24"/>
        </w:rPr>
        <w:fldChar w:fldCharType="begin"/>
      </w:r>
      <w:r w:rsidR="00CE16FF">
        <w:rPr>
          <w:rFonts w:eastAsia="Arial Narrow"/>
          <w:sz w:val="24"/>
          <w:szCs w:val="24"/>
        </w:rPr>
        <w:instrText xml:space="preserve"> ADDIN ZOTERO_ITEM CSL_CITATION {"citationID":"HYlTwP5T","properties":{"unsorted":false,"formattedCitation":"[15,16]","plainCitation":"[15,16]","noteIndex":0},"citationItems":[{"id":42,"uris":["http://zotero.org/users/21945073/items/PX7ZDCKX"],"itemData":{"id":42,"type":"article-journal","abstract":"This paper reports on the wide variations in the caffeine and chlorogenic acid contents of coffees purchased in Scotland, Spain and Italy. Image © Shutterstock.\n          , \n            The effect of roasting of coffee beans and the extraction of ground coffee with different volumes of hot pressurised water on the caffeine and the total caffeoylquinic acids (CQAs) content of the resultant beverages was investigated. While caffeine was stable higher roasting temperatures resulted in a loss of CQAs so that the caffeine/CQA ratio was a good marker of the degree of roasting. The caffeine and CQA content and volume was determined for 104 espresso coffees obtained from coffee shops in Scotland, Italy and Spain, limited numbers of cappuccino coffees from commercial outlets and several instant coffees. The caffeine content ranged from 48–317 mg per serving and CQAs from 6–188 mg. It is evident that the ingestion of 200 mg of caffeine per day can be readily and unwittingly exceeded by regular coffee drinkers. This is the upper limit of caffeine intake from all sources recommended by US and UK health agencies for pregnant women. In view of the variable volume of serving sizes, it is also clear that the term “one cup of coffee” is not a reproducible measurement for consumption, yet it is the prevailing unit used in epidemiology to assess coffee consumption and to link the potential effects of the beverage and its components on the outcome of diseases. More accurate measurement of the intake of coffee and its potentially bioactive components are required if epidemiological studies are to produce more reliable information.","container-title":"Food Funct.","DOI":"10.1039/C4FO00290C","ISSN":"2042-6496, 2042-650X","issue":"8","journalAbbreviation":"Food Funct.","language":"en","page":"1718-1726","source":"DOI.org (Crossref)","title":"Variations in caffeine and chlorogenic acid contents of coffees: what are we drinking?","title-short":"Variations in caffeine and chlorogenic acid contents of coffees","volume":"5","author":[{"family":"Ludwig","given":"Iziar A."},{"family":"Mena","given":"Pedro"},{"family":"Calani","given":"Luca"},{"family":"Cid","given":"Concepción"},{"family":"Del Rio","given":"Daniele"},{"family":"Lean","given":"Michael E. J."},{"family":"Crozier","given":"Alan"}],"issued":{"date-parts":[["2014"]]}}},{"id":44,"uris":["http://zotero.org/users/21945073/items/268JBUFU"],"itemData":{"id":44,"type":"article-journal","container-title":"Food Funct.","DOI":"10.1039/C1FO10240K","ISSN":"2042-6496, 2042-650X","issue":"1","journalAbbreviation":"Food Funct.","language":"en","page":"30-33","source":"DOI.org (Crossref)","title":"Espresso coffees, caffeine and chlorogenic acid intake: potential health implications","title-short":"Espresso coffees, caffeine and chlorogenic acid intake","volume":"3","author":[{"family":"Crozier","given":"Thomas W. M."},{"family":"Stalmach","given":"Angelique"},{"family":"Lean","given":"Michael E. J."},{"family":"Crozier","given":"Alan"}],"issued":{"date-parts":[["2012"]]}}}],"schema":"https://github.com/citation-style-language/schema/raw/master/csl-citation.json"} </w:instrText>
      </w:r>
      <w:r w:rsidR="00677B54">
        <w:rPr>
          <w:rFonts w:eastAsia="Arial Narrow"/>
          <w:sz w:val="24"/>
          <w:szCs w:val="24"/>
        </w:rPr>
        <w:fldChar w:fldCharType="separate"/>
      </w:r>
      <w:r w:rsidR="00CE16FF" w:rsidRPr="00CE16FF">
        <w:rPr>
          <w:sz w:val="24"/>
        </w:rPr>
        <w:t>[15,16]</w:t>
      </w:r>
      <w:r w:rsidR="00677B54">
        <w:rPr>
          <w:rFonts w:eastAsia="Arial Narrow"/>
          <w:sz w:val="24"/>
          <w:szCs w:val="24"/>
        </w:rPr>
        <w:fldChar w:fldCharType="end"/>
      </w:r>
      <w:r>
        <w:rPr>
          <w:sz w:val="24"/>
          <w:szCs w:val="24"/>
        </w:rPr>
        <w:t xml:space="preserve"> e os valores de referência para café de filtro, chá e bebidas energéticas </w:t>
      </w:r>
      <w:r w:rsidR="00677B54">
        <w:rPr>
          <w:rFonts w:eastAsia="Arial Narrow"/>
          <w:sz w:val="24"/>
          <w:szCs w:val="24"/>
        </w:rPr>
        <w:fldChar w:fldCharType="begin"/>
      </w:r>
      <w:r w:rsidR="00CE16FF">
        <w:rPr>
          <w:rFonts w:eastAsia="Arial Narrow"/>
          <w:sz w:val="24"/>
          <w:szCs w:val="24"/>
        </w:rPr>
        <w:instrText xml:space="preserve"> ADDIN ZOTERO_ITEM CSL_CITATION {"citationID":"SXxC8xJ5","properties":{"unsorted":false,"formattedCitation":"[17]","plainCitation":"[17]","noteIndex":0},"citationItems":[{"id":46,"uris":["http://zotero.org/users/21945073/items/RSQ7SH87"],"itemData":{"id":46,"type":"article-journal","abstract":"Caffeine ranks as one of the top most commonly consumed dietary ingredients throughout the world. It is naturally found in coffee beans, cacao beans, kola nuts, guarana berries, and tea leaves including yerba mate. The total daily intake, as well as the major source of caffeine varies globally; however, coffee and tea are the 2 most prominent sources. Soft drinks are also a common source of caffeine as well as energy drinks, a category of functional beverages. Moderate caffeine consumption is considered safe and its use as a food ingredient has been approved, within certain limits, by numerous regulatory agencies around the world. Performance benefits attributed to caffeine include physical endurance, reduction of fatigue, and enhancing mental alertness and concentration. Caffeine has also been recently linked to weight loss and consequent reduction of the overall risks for developing the metabolic syndrome. However, the caloric contribution of caffeine-sweetened beverages needs to be considered in the overall energy balance. Despite all these benefits the potential negative effects of excessive caffeine intake should also be considered, particularly in children and pregnant women.","container-title":"Journal of Food Science","DOI":"10.1111/j.1750-3841.2010.01561.x","ISSN":"0022-1147, 1750-3841","issue":"3","journalAbbreviation":"Journal of Food Science","language":"en","license":"http://onlinelibrary.wiley.com/termsAndConditions#vor","source":"DOI.org (Crossref)","title":"Caffeine (1, 3, 7</w:instrText>
      </w:r>
      <w:r w:rsidR="00CE16FF">
        <w:rPr>
          <w:rFonts w:ascii="Cambria Math" w:eastAsia="Arial Narrow" w:hAnsi="Cambria Math" w:cs="Cambria Math"/>
          <w:sz w:val="24"/>
          <w:szCs w:val="24"/>
        </w:rPr>
        <w:instrText>‐</w:instrText>
      </w:r>
      <w:r w:rsidR="00CE16FF">
        <w:rPr>
          <w:rFonts w:eastAsia="Arial Narrow"/>
          <w:sz w:val="24"/>
          <w:szCs w:val="24"/>
        </w:rPr>
        <w:instrText>trimethylxanthine) in Foods: A Comprehensive Review on Consumption, Functionality, Safety, and Regulatory Matters","title-short":"Caffeine (1, 3, 7</w:instrText>
      </w:r>
      <w:r w:rsidR="00CE16FF">
        <w:rPr>
          <w:rFonts w:ascii="Cambria Math" w:eastAsia="Arial Narrow" w:hAnsi="Cambria Math" w:cs="Cambria Math"/>
          <w:sz w:val="24"/>
          <w:szCs w:val="24"/>
        </w:rPr>
        <w:instrText>‐</w:instrText>
      </w:r>
      <w:r w:rsidR="00CE16FF">
        <w:rPr>
          <w:rFonts w:eastAsia="Arial Narrow"/>
          <w:sz w:val="24"/>
          <w:szCs w:val="24"/>
        </w:rPr>
        <w:instrText xml:space="preserve">trimethylxanthine) in Foods","URL":"https://ift.onlinelibrary.wiley.com/doi/10.1111/j.1750-3841.2010.01561.x","volume":"75","author":[{"family":"Heckman","given":"Melanie A."},{"family":"Weil","given":"Jorge"},{"family":"De Mejia","given":"Elvira Gonzalez"}],"accessed":{"date-parts":[["2026",10,10]]},"issued":{"date-parts":[["2010",4]]}}}],"schema":"https://github.com/citation-style-language/schema/raw/master/csl-citation.json"} </w:instrText>
      </w:r>
      <w:r w:rsidR="00677B54">
        <w:rPr>
          <w:rFonts w:eastAsia="Arial Narrow"/>
          <w:sz w:val="24"/>
          <w:szCs w:val="24"/>
        </w:rPr>
        <w:fldChar w:fldCharType="separate"/>
      </w:r>
      <w:r w:rsidR="00CE16FF" w:rsidRPr="00CE16FF">
        <w:rPr>
          <w:sz w:val="24"/>
        </w:rPr>
        <w:t>[17]</w:t>
      </w:r>
      <w:r w:rsidR="00677B54">
        <w:rPr>
          <w:rFonts w:eastAsia="Arial Narrow"/>
          <w:sz w:val="24"/>
          <w:szCs w:val="24"/>
        </w:rPr>
        <w:fldChar w:fldCharType="end"/>
      </w:r>
      <w:r>
        <w:rPr>
          <w:sz w:val="24"/>
          <w:szCs w:val="24"/>
        </w:rPr>
        <w:t xml:space="preserve"> (tabela no </w:t>
      </w:r>
      <w:hyperlink r:id="rIdAnexo" w:history="1">
        <w:r>
          <w:rPr>
            <w:color w:val="0563C1"/>
            <w:u w:val="single"/>
            <w:sz w:val="24"/>
            <w:szCs w:val="24"/>
          </w:rPr>
          <w:t xml:space="preserve">Anexo</w:t>
        </w:r>
      </w:hyperlink>
      <w:r>
        <w:rPr>
          <w:sz w:val="24"/>
          <w:szCs w:val="24"/>
        </w:rPr>
        <w:t xml:space="preserve">). A exposição será analisada como variável contínua e em categorias: consumo nulo ou baixo (&lt;50 mg/dia, referência), moderado (50 a 199 mg/dia) e elevado (≥200 mg/dia).</w:t>
      </w:r>
    </w:p>
    <w:p>
      <w:pPr>
        <w:numPr>
          <w:ilvl w:val="1"/>
          <w:numId w:val="1"/>
        </w:numPr>
        <w:spacing w:before="240" w:after="120" w:line="360" w:lineRule="auto"/>
        <w:ind w:left="1021" w:hanging="567"/>
        <w:jc w:val="both"/>
        <w:outlineLvl w:val="1"/>
        <w:rPr>
          <w:rFonts w:eastAsia="Arial Narrow"/>
          <w:b/>
          <w:bCs/>
          <w:sz w:val="24"/>
          <w:szCs w:val="24"/>
        </w:rPr>
      </w:pPr>
      <w:r>
        <w:rPr>
          <w:b/>
          <w:bCs/>
          <w:sz w:val="24"/>
          <w:szCs w:val="24"/>
        </w:rPr>
        <w:t xml:space="preserve">Variáveis de confusão</w:t>
      </w:r>
    </w:p>
    <w:p>
      <w:pPr>
        <w:spacing w:line="360" w:lineRule="auto"/>
        <w:ind w:firstLine="284"/>
        <w:jc w:val="both"/>
        <w:rPr>
          <w:sz w:val="24"/>
          <w:szCs w:val="24"/>
        </w:rPr>
      </w:pPr>
      <w:r>
        <w:rPr>
          <w:sz w:val="24"/>
          <w:szCs w:val="24"/>
        </w:rPr>
        <w:t xml:space="preserve">Serão também recolhidos potenciais fatores de confusão </w:t>
      </w:r>
      <w:r w:rsidR="008F562F" w:rsidRPr="0011232A">
        <w:rPr>
          <w:rFonts w:eastAsia="Arial Narrow"/>
          <w:sz w:val="24"/>
          <w:szCs w:val="24"/>
        </w:rPr>
        <w:fldChar w:fldCharType="begin"/>
      </w:r>
      <w:r w:rsidR="00375BD5">
        <w:rPr>
          <w:rFonts w:eastAsia="Arial Narrow"/>
          <w:sz w:val="24"/>
          <w:szCs w:val="24"/>
        </w:rPr>
        <w:instrText xml:space="preserve"> ADDIN ZOTERO_ITEM CSL_CITATION {"citationID":"w24hgYIr","properties":{"unsorted":false,"formattedCitation":"[4]","plainCitation":"[4]","noteIndex":0},"citationItems":[{"id":17,"uris":["http://zotero.org/users/21945073/items/MLWJ9JAC"],"itemData":{"id":17,"type":"article-journal","abstract":"Abstract\n            The etiology of Parkinson's disease (PD) is complex and multifactorial, depending on interactions involving environmental/lifestyle and genetic factors. The genetic aspects of the disease are becoming well characterized, while the environmental factors still need further investigation. In the present narrative review, we have described the most concrete evidence of associations between environmental factors and the risk of developing PD. Physical activity, healthy dietary patterns, smoking, and caffeine intake are protective factors against PD. Head trauma, consumption of milk and dairy products, and pesticide exposure were associated with a higher risk of developing PD. The associations of alcohol consumption, living in rural areas, farming, and consumption of well water with PD are still controversial. Results of several studies strongly suggest that diabetes mellitus is a risk factor for the development of PD, as well as the pre-diabetic state. Lower serum levels of uric acid were associated with an increased risk of developing PD and with worse clinical features and faster progression of symptoms. The protective effects of nonsteroidal antiinflammatory drugs use are controversial. Several other factors were potentially associated with the risk of developing PD: environmental pollutants such as organic solvents, exposure to sunlight, vitamin D deficiency, bullous pemphigoid, bipolar disorder, inflammatory bowel disease, irritable bowel syndrome, certain infections and agents, and essential tremor. Environmental factors are important risk markers for the development of PD. Understanding these risks and protective factors could lead to the implementation of risk-modifying actions for PD.","container-title":"Arquivos de Neuro-Psiquiatria","DOI":"10.1055/s-0045-1805075","ISSN":"0004-282X, 1678-4227","issue":"03","journalAbbreviation":"Arq Neuropsiquiatr","language":"en","license":"https://creativecommons.org/licenses/by/4.0/","page":"001-010","source":"DOI.org (Crossref)","title":"Modifiable risk factors associated with the risk of developing Parkinson's disease: a critical review","title-short":"Modifiable risk factors associated with the risk of developing Parkinson's disease","volume":"83","author":[{"family":"Tumas","given":"Vitor"},{"family":"Aureliano","given":"Marcelo Jhonatan"},{"family":"Rieder","given":"Carlos Roberto De Melo"},{"family":"Schuh","given":"Artur Francisco Schumacher"},{"family":"Ferraz","given":"Henrique Ballalai"},{"family":"Borges","given":"Vanderci"},{"family":"Soares","given":"Maria Carolina"},{"family":"Boone","given":"Dayany Leonel"},{"family":"Silva","given":"Carolina Candeias Da"},{"family":"Costa","given":"Mariana Cavalcanti"},{"family":"Silva","given":"Delson José Da"},{"family":"Carmo","given":"Aracelle Victor Do"},{"family":"Mikael","given":"Luana De Rezende"},{"family":"Santos-Lobato","given":"Bruno Lopes"},{"family":"Rosso","given":"Ana Lucia Zuma"},{"family":"Vilaça","given":"Celmir De Oliveira"},{"family":"Braga-Neto","given":"Pedro"},{"family":"Gomes","given":"André Borges Ferreira"},{"family":"Carvalho","given":"Camila Gonçalves Monteiro"},{"family":"Letro","given":"Grace Helena"},{"family":"Nicaretta","given":"Denise Hack"},{"family":"Coletta","given":"Marcus Vinicius Della"},{"family":"Barbosa","given":"Egberto Reis"},{"family":"Cury","given":"Rubens Gisbert"},{"family":"Cardoso","given":"Francisco Eduardo Costa"},{"family":"Camargos","given":"Sarah Teixeira"},{"family":"Mata","given":"Ignacio Fernandez"}],"issued":{"date-parts":[["2025",3]]}}}],"schema":"https://github.com/citation-style-language/schema/raw/master/csl-citation.json"} </w:instrText>
      </w:r>
      <w:r w:rsidR="008F562F" w:rsidRPr="0011232A">
        <w:rPr>
          <w:rFonts w:eastAsia="Arial Narrow"/>
          <w:sz w:val="24"/>
          <w:szCs w:val="24"/>
        </w:rPr>
        <w:fldChar w:fldCharType="separate"/>
      </w:r>
      <w:r w:rsidR="00375BD5" w:rsidRPr="00375BD5">
        <w:rPr>
          <w:sz w:val="24"/>
        </w:rPr>
        <w:t>[4]</w:t>
      </w:r>
      <w:r w:rsidR="008F562F" w:rsidRPr="0011232A">
        <w:rPr>
          <w:rFonts w:eastAsia="Arial Narrow"/>
          <w:sz w:val="24"/>
          <w:szCs w:val="24"/>
        </w:rPr>
        <w:fldChar w:fldCharType="end"/>
      </w:r>
      <w:r>
        <w:rPr>
          <w:sz w:val="24"/>
          <w:szCs w:val="24"/>
        </w:rPr>
        <w:t xml:space="preserve">: tabagismo (nunca fumador, ex-fumador ou fumador atual, e unidades maço-ano), fortemente associado a menor risco de DP e ao consumo de café </w:t>
      </w:r>
      <w:r w:rsidR="009F57FA">
        <w:rPr>
          <w:rFonts w:eastAsia="Arial Narrow"/>
          <w:sz w:val="24"/>
          <w:szCs w:val="24"/>
        </w:rPr>
        <w:fldChar w:fldCharType="begin"/>
      </w:r>
      <w:r w:rsidR="00375BD5">
        <w:rPr>
          <w:rFonts w:eastAsia="Arial Narrow"/>
          <w:sz w:val="24"/>
          <w:szCs w:val="24"/>
        </w:rPr>
        <w:instrText xml:space="preserve"> ADDIN ZOTERO_ITEM CSL_CITATION {"citationID":"AkDxZjza","properties":{"unsorted":false,"formattedCitation":"[3]","plainCitation":"[3]","noteIndex":0},"citationItems":[{"id":31,"uris":["http://zotero.org/users/21945073/items/32VHKTEN"],"itemData":{"id":31,"type":"article","abstract":"Many but not all studies have indicated that smoking is inversely associated with Parkinson's disease (PD). Meta-analysis of epidemiological studies on smoking and PD was performed to summarize data from published studies. Fifty-four epidemiological studies (48 case-control and 6 cohort studies, 53 publications) were identified for potential inclusion in meta-analysis. The summary risk estimates for current smokers, former smokers, and ever (current and former) smokers were 0.31 (95% confidence interval (CI) = 0.25-0.38), 0.72 (95% CI = 0.63-0.83) and 0. 55 (95% CI = 0. 51-0. 59), respectively. In stratified analysis by study design, smoking had a somewhat greater impact on PD risk in cohort studies than in case-control studies. However, meta-regression indicated that the study design did not significantly contribute to heterogeneity. Additional analyses were restricted to case-control studies because of the sufficient number of studies. Stratified analysis by ethnicity indicated that the summary OR for ever-smokers was nonsignificantly smaller in Asian populations than in Caucasian populations. In stratified analysis by source of controls, former smoking was significantly associated with a decreased risk of PD in hospital-based case-control studies but was marginally associated with a decreased risk in population-based case-control studies. The source of controls did not contribute significantly to heterogeneity. PD risk associated with ever-smoking was significantly lower for a hospital-based approach than a population-based approach. Among current smokers, the association held true to the same extent for both approaches. This meta-analysis indicated that smokers have a lower risk of PD. As PD is a multifactorial disease, further investigation of the smoking-gene interaction on PD risk may lead to a better understanding of the pathogenesis of PD.","DOI":"10.15017/20014","language":"en","number":"8","publisher":"Fukuoka Medical Association","source":"DOI.org (CSL JSON)","title":"Cigarette Smoking and Parkinson's Disease : A Meta-Analysis","title-short":"Cigarette Smoking and Parkinson's Disease","URL":"https://doi.org/10.15017/20014","author":[{"family":"Kiyohara","given":"Chikako"},{"family":"Kusuhara","given":"Shota"}],"accessed":{"date-parts":[["2026",10,6]]},"issued":{"date-parts":[["2011",8,25]]}}}],"schema":"https://github.com/citation-style-language/schema/raw/master/csl-citation.json"} </w:instrText>
      </w:r>
      <w:r w:rsidR="009F57FA">
        <w:rPr>
          <w:rFonts w:eastAsia="Arial Narrow"/>
          <w:sz w:val="24"/>
          <w:szCs w:val="24"/>
        </w:rPr>
        <w:fldChar w:fldCharType="separate"/>
      </w:r>
      <w:r w:rsidR="00375BD5" w:rsidRPr="00375BD5">
        <w:rPr>
          <w:sz w:val="24"/>
        </w:rPr>
        <w:t>[3]</w:t>
      </w:r>
      <w:r w:rsidR="009F57FA">
        <w:rPr>
          <w:rFonts w:eastAsia="Arial Narrow"/>
          <w:sz w:val="24"/>
          <w:szCs w:val="24"/>
        </w:rPr>
        <w:fldChar w:fldCharType="end"/>
      </w:r>
      <w:r>
        <w:rPr>
          <w:sz w:val="24"/>
          <w:szCs w:val="24"/>
        </w:rPr>
        <w:t xml:space="preserve">; consumo de álcool; terapêutica hormonal de substituição em mulheres pós-menopáusicas </w:t>
      </w:r>
      <w:r w:rsidR="00E63F1B">
        <w:rPr>
          <w:rFonts w:eastAsia="Arial Narrow"/>
          <w:sz w:val="24"/>
          <w:szCs w:val="24"/>
        </w:rPr>
        <w:fldChar w:fldCharType="begin"/>
      </w:r>
      <w:r w:rsidR="00CE16FF">
        <w:rPr>
          <w:rFonts w:eastAsia="Arial Narrow"/>
          <w:sz w:val="24"/>
          <w:szCs w:val="24"/>
        </w:rPr>
        <w:instrText xml:space="preserve"> ADDIN ZOTERO_ITEM CSL_CITATION {"citationID":"hpZ5G8g2","properties":{"unsorted":false,"formattedCitation":"[1,4,9]","plainCitation":"[1,4,9]","noteIndex":0},"citationItems":[{"id":25,"uris":["http://zotero.org/users/local/LvC0uRfo/items/F52TYJYS","http://zotero.org/users/21945073/items/F52TYJYS"],"itemData":{"id":25,"type":"article-journal","abstract":"Coﬀee and caﬀeine are speculated to be associated with the reduced risk of Parkinson’s disease (PD). The present study aimed to investigate the disease-modifying potential of caﬀeine on PD, either for healthy people or patients, through a meta-analysis. The electronic databases were searched using terms related to PD and coﬀee and caﬀeinated food products. Articles were included only upon fulﬁllment of clear diagnostic criteria for PD and details regarding their caﬀeine content. Reference lists of relevant articles were reviewed to identify eligible studies not shortlisted using these terms. In total, the present study enrolled 13 studies, nine were categorized into a healthy cohort and the rest into a PD cohort. The individuals in the healthy cohort with regular caﬀeine consumption had a signiﬁcantly lower risk of PD during follow-up evaluation (hazard ratio (HR) = 0.797, 95% CI = 0.748–0.849, p &lt; 0.001). The outcomes of disease progression in PD cohorts included dyskinesia, motor ﬂuctuation, symptom onset, and levodopa initiation. Individuals consuming caﬀeine presented a signiﬁcantly lower rate of PD progression (HR = 0.834, 95% CI = 0.707–0.984, p = 0.03). In conclusion, caﬀeine modiﬁed disease risk and progression in PD, among both healthy individuals or those with PD. Potential biological beneﬁts, such as those obtained from adenosine 2A receptor antagonism, may require further investigation for designing new drugs.","container-title":"Nutrients","DOI":"10.3390/nu12061860","ISSN":"2072-6643","issue":"6","journalAbbreviation":"Nutrients","language":"en","page":"1860","source":"DOI.org (Crossref)","title":"The Effect of Caffeine on the Risk and Progression of Parkinson’s Disease: A Meta-Analysis","title-short":"The Effect of Caffeine on the Risk and Progression of Parkinson’s Disease","volume":"12","author":[{"family":"Hong","given":"Chien Tai"},{"family":"Chan","given":"Lung"},{"family":"Bai","given":"Chyi-Huey"}],"issued":{"date-parts":[["2020",6,22]]}}},{"id":17,"uris":["http://zotero.org/users/21945073/items/MLWJ9JAC"],"itemData":{"id":17,"type":"article-journal","abstract":"Abstract\n            The etiology of Parkinson's disease (PD) is complex and multifactorial, depending on interactions involving environmental/lifestyle and genetic factors. The genetic aspects of the disease are becoming well characterized, while the environmental factors still need further investigation. In the present narrative review, we have described the most concrete evidence of associations between environmental factors and the risk of developing PD. Physical activity, healthy dietary patterns, smoking, and caffeine intake are protective factors against PD. Head trauma, consumption of milk and dairy products, and pesticide exposure were associated with a higher risk of developing PD. The associations of alcohol consumption, living in rural areas, farming, and consumption of well water with PD are still controversial. Results of several studies strongly suggest that diabetes mellitus is a risk factor for the development of PD, as well as the pre-diabetic state. Lower serum levels of uric acid were associated with an increased risk of developing PD and with worse clinical features and faster progression of symptoms. The protective effects of nonsteroidal antiinflammatory drugs use are controversial. Several other factors were potentially associated with the risk of developing PD: environmental pollutants such as organic solvents, exposure to sunlight, vitamin D deficiency, bullous pemphigoid, bipolar disorder, inflammatory bowel disease, irritable bowel syndrome, certain infections and agents, and essential tremor. Environmental factors are important risk markers for the development of PD. Understanding these risks and protective factors could lead to the implementation of risk-modifying actions for PD.","container-title":"Arquivos de Neuro-Psiquiatria","DOI":"10.1055/s-0045-1805075","ISSN":"0004-282X, 1678-4227","issue":"03","journalAbbreviation":"Arq Neuropsiquiatr","language":"en","license":"https://creativecommons.org/licenses/by/4.0/","page":"001-010","source":"DOI.org (Crossref)","title":"Modifiable risk factors associated with the risk of developing Parkinson's disease: a critical review","title-short":"Modifiable risk factors associated with the risk of developing Parkinson's disease","volume":"83","author":[{"family":"Tumas","given":"Vitor"},{"family":"Aureliano","given":"Marcelo Jhonatan"},{"family":"Rieder","given":"Carlos Roberto De Melo"},{"family":"Schuh","given":"Artur Francisco Schumacher"},{"family":"Ferraz","given":"Henrique Ballalai"},{"family":"Borges","given":"Vanderci"},{"family":"Soares","given":"Maria Carolina"},{"family":"Boone","given":"Dayany Leonel"},{"family":"Silva","given":"Carolina Candeias Da"},{"family":"Costa","given":"Mariana Cavalcanti"},{"family":"Silva","given":"Delson José Da"},{"family":"Carmo","given":"Aracelle Victor Do"},{"family":"Mikael","given":"Luana De Rezende"},{"family":"Santos-Lobato","given":"Bruno Lopes"},{"family":"Rosso","given":"Ana Lucia Zuma"},{"family":"Vilaça","given":"Celmir De Oliveira"},{"family":"Braga-Neto","given":"Pedro"},{"family":"Gomes","given":"André Borges Ferreira"},{"family":"Carvalho","given":"Camila Gonçalves Monteiro"},{"family":"Letro","given":"Grace Helena"},{"family":"Nicaretta","given":"Denise Hack"},{"family":"Coletta","given":"Marcus Vinicius Della"},{"family":"Barbosa","given":"Egberto Reis"},{"family":"Cury","given":"Rubens Gisbert"},{"family":"Cardoso","given":"Francisco Eduardo Costa"},{"family":"Camargos","given":"Sarah Teixeira"},{"family":"Mata","given":"Ignacio Fernandez"}],"issued":{"date-parts":[["2025",3]]}}},{"id":20,"uris":["http://zotero.org/users/21945073/items/4F8GMPTR"],"itemData":{"id":20,"type":"article-journal","abstract":"Several studies conducted worldwide report an inverse association between caffeine/coffee consumption and the risk of developing Parkinson’s disease (PD). However, heterogeneity and conﬂicting results between studies preclude a correct estimation of the strength of this association. We conducted a systematic review and meta-analysis of published epidemiological studies to better estimate the effect of caffeine exposure on the incidence of PD. Data sources searched included Medline, LILACS, Scopus, Web of Science and reference lists, up to September 2009. Cohort, case-control and cross-sectional studies were included. Three independent reviewers selected the studies and extracted the data on to standardized forms. Twenty-six studies were included: 7 cohort, 2 nested case-control, 16 case-control, and 1 cross-sectional study. Quantitative data synthesis of the most precise estimates from each study was accomplished through random effects meta-analysis. Heterogeneity was quantiﬁed using the I2 statistic. The summary RR for the association between caffeine intake and PD was 0.75 [95% Conﬁdence Interval (95%CI): 0.68–0.82], with low to moderate heterogeneity (I2 = 28.8%). Publication bias for case-control/cross-sectional studies may exist (Egger’s test, p = 0.053). When considering only the cohort studies, the RR was 0.80 (95%CI: 0.71–90; I2 = 8.1%). The negative association was weaker when only women were considered (RR = 0.86, 95%CI: 0.73–1.02; I2 = 12.9%). A linear relation was observed between levels of exposure to caffeine and the RR estimates: RR of 0.76 (95%CI: 0.72–0.80; I2 = 35.1%) per 300 mg increase in caffeine intake. This study conﬁrm an inverse association between caffeine intake and the risk of PD, which can hardly by explained by bias or uncontrolled confounding.","container-title":"Journal of Alzheimer's Disease","DOI":"10.3233/JAD-2010-091525","ISSN":"18758908, 13872877","issue":"s1","journalAbbreviation":"JAD","language":"en","license":"http://creativecommons.org/licenses/by-nc/4.0/","page":"S221-S238","source":"DOI.org (Crossref)","title":"Caffeine Exposure and the Risk of Parkinson's Disease: A Systematic Review and Meta-Analysis of Observational Studiess","title-short":"Caffeine Exposure and the Risk of Parkinson's Disease","volume":"20","author":[{"family":"Costa","given":"João"},{"family":"Lunet","given":"Nuno"},{"family":"Santos","given":"Catarina"},{"family":"Santos","given":"João"},{"family":"Vaz-Carneiro","given":"António"}],"editor":[{"family":"Cunha","given":"Rodrigo A."},{"family":"De Mendonça","given":"Alexandre"}],"issued":{"date-parts":[["2010",4,14]]}}}],"schema":"https://github.com/citation-style-language/schema/raw/master/csl-citation.json"} </w:instrText>
      </w:r>
      <w:r w:rsidR="00E63F1B">
        <w:rPr>
          <w:rFonts w:eastAsia="Arial Narrow"/>
          <w:sz w:val="24"/>
          <w:szCs w:val="24"/>
        </w:rPr>
        <w:fldChar w:fldCharType="separate"/>
      </w:r>
      <w:r w:rsidR="00CE16FF" w:rsidRPr="00CE16FF">
        <w:rPr>
          <w:sz w:val="24"/>
        </w:rPr>
        <w:t>[1,4,9]</w:t>
      </w:r>
      <w:r w:rsidR="00E63F1B">
        <w:rPr>
          <w:rFonts w:eastAsia="Arial Narrow"/>
          <w:sz w:val="24"/>
          <w:szCs w:val="24"/>
        </w:rPr>
        <w:fldChar w:fldCharType="end"/>
      </w:r>
      <w:r>
        <w:rPr>
          <w:sz w:val="24"/>
          <w:szCs w:val="24"/>
        </w:rPr>
        <w:t xml:space="preserve">; história familiar de DP em familiares de primeiro grau; e exposição a pesticidas e traumatismos cranianos </w:t>
      </w:r>
      <w:r w:rsidR="008F562F" w:rsidRPr="0011232A">
        <w:rPr>
          <w:rFonts w:eastAsia="Arial Narrow"/>
          <w:sz w:val="24"/>
          <w:szCs w:val="24"/>
        </w:rPr>
        <w:fldChar w:fldCharType="begin"/>
      </w:r>
      <w:r w:rsidR="00CE16FF">
        <w:rPr>
          <w:rFonts w:eastAsia="Arial Narrow"/>
          <w:sz w:val="24"/>
          <w:szCs w:val="24"/>
        </w:rPr>
        <w:instrText xml:space="preserve"> ADDIN ZOTERO_ITEM CSL_CITATION {"citationID":"6MXazKq4","properties":{"unsorted":false,"formattedCitation":"[4,5]","plainCitation":"[4,5]","noteIndex":0},"citationItems":[{"id":17,"uris":["http://zotero.org/users/21945073/items/MLWJ9JAC"],"itemData":{"id":17,"type":"article-journal","abstract":"Abstract\n            The etiology of Parkinson's disease (PD) is complex and multifactorial, depending on interactions involving environmental/lifestyle and genetic factors. The genetic aspects of the disease are becoming well characterized, while the environmental factors still need further investigation. In the present narrative review, we have described the most concrete evidence of associations between environmental factors and the risk of developing PD. Physical activity, healthy dietary patterns, smoking, and caffeine intake are protective factors against PD. Head trauma, consumption of milk and dairy products, and pesticide exposure were associated with a higher risk of developing PD. The associations of alcohol consumption, living in rural areas, farming, and consumption of well water with PD are still controversial. Results of several studies strongly suggest that diabetes mellitus is a risk factor for the development of PD, as well as the pre-diabetic state. Lower serum levels of uric acid were associated with an increased risk of developing PD and with worse clinical features and faster progression of symptoms. The protective effects of nonsteroidal antiinflammatory drugs use are controversial. Several other factors were potentially associated with the risk of developing PD: environmental pollutants such as organic solvents, exposure to sunlight, vitamin D deficiency, bullous pemphigoid, bipolar disorder, inflammatory bowel disease, irritable bowel syndrome, certain infections and agents, and essential tremor. Environmental factors are important risk markers for the development of PD. Understanding these risks and protective factors could lead to the implementation of risk-modifying actions for PD.","container-title":"Arquivos de Neuro-Psiquiatria","DOI":"10.1055/s-0045-1805075","ISSN":"0004-282X, 1678-4227","issue":"03","journalAbbreviation":"Arq Neuropsiquiatr","language":"en","license":"https://creativecommons.org/licenses/by/4.0/","page":"001-010","source":"DOI.org (Crossref)","title":"Modifiable risk factors associated with the risk of developing Parkinson's disease: a critical review","title-short":"Modifiable risk factors associated with the risk of developing Parkinson's disease","volume":"83","author":[{"family":"Tumas","given":"Vitor"},{"family":"Aureliano","given":"Marcelo Jhonatan"},{"family":"Rieder","given":"Carlos Roberto De Melo"},{"family":"Schuh","given":"Artur Francisco Schumacher"},{"family":"Ferraz","given":"Henrique Ballalai"},{"family":"Borges","given":"Vanderci"},{"family":"Soares","given":"Maria Carolina"},{"family":"Boone","given":"Dayany Leonel"},{"family":"Silva","given":"Carolina Candeias Da"},{"family":"Costa","given":"Mariana Cavalcanti"},{"family":"Silva","given":"Delson José Da"},{"family":"Carmo","given":"Aracelle Victor Do"},{"family":"Mikael","given":"Luana De Rezende"},{"family":"Santos-Lobato","given":"Bruno Lopes"},{"family":"Rosso","given":"Ana Lucia Zuma"},{"family":"Vilaça","given":"Celmir De Oliveira"},{"family":"Braga-Neto","given":"Pedro"},{"family":"Gomes","given":"André Borges Ferreira"},{"family":"Carvalho","given":"Camila Gonçalves Monteiro"},{"family":"Letro","given":"Grace Helena"},{"family":"Nicaretta","given":"Denise Hack"},{"family":"Coletta","given":"Marcus Vinicius Della"},{"family":"Barbosa","given":"Egberto Reis"},{"family":"Cury","given":"Rubens Gisbert"},{"family":"Cardoso","given":"Francisco Eduardo Costa"},{"family":"Camargos","given":"Sarah Teixeira"},{"family":"Mata","given":"Ignacio Fernandez"}],"issued":{"date-parts":[["2025",3]]}}},{"id":53,"uris":["http://zotero.org/users/21945073/items/FPE94VN8"],"itemData":{"id":53,"type":"article-journal","abstract":"We review the epidemiologic literature on potential protective and risk factors in Parkinson’s Disease (PD). Prior research identified numerous possible protective and risk factors. Potential protective factors include tobacco abuse, physical activity, urate levels, NSAID use, calcium channel blocker use, statin use, and use of some α1-adrenergic antagonists. Some potential protective factors could be products of reverse causation, including increased serum urate, tobacco abuse, and coffee-tea-caffeine consumption. Potential risk factors include traumatic brain injury, pesticide exposure, organic solvent exposure, lead exposure, air pollution, Type 2 Diabetes, some dairy products, cardiovascular disease, and some infections including Hepatitis C, H. pylori, and COVID-19. Potential non-environmental risk factors include bipolar disorder, essential tremor, bullous pemphigoid, and inflammatory bowel disease. There is an inverse relationship with PD and risk of most cancers. Though many potential protective and risk factors for PD were identified, research has not yet led to unique, rigorous prevention trials or successful disease-modifying interventions. While efforts to reduce exposure to some industrial toxicants are well justified, PD incidence might be most effectively reduced by mitigation of risks, such as Type 2 Diabetes, air pollution, traumatic brain injury, or physical inactivity, that are general public health intervention targets.","container-title":"Parkinsonism &amp; Related Disorders","DOI":"10.1016/j.parkreldis.2024.107026","ISSN":"13538020","journalAbbreviation":"Parkinsonism &amp; Related Disorders","language":"en","page":"107026","source":"DOI.org (Crossref)","title":"Update: Protective and risk factors for Parkinson disease","title-short":"Update","volume":"125","author":[{"family":"Grotewold","given":"Nikolas"},{"family":"Albin","given":"Roger L."}],"issued":{"date-parts":[["2024",8]]}}}],"schema":"https://github.com/citation-style-language/schema/raw/master/csl-citation.json"} </w:instrText>
      </w:r>
      <w:r w:rsidR="008F562F" w:rsidRPr="0011232A">
        <w:rPr>
          <w:rFonts w:eastAsia="Arial Narrow"/>
          <w:sz w:val="24"/>
          <w:szCs w:val="24"/>
        </w:rPr>
        <w:fldChar w:fldCharType="separate"/>
      </w:r>
      <w:r w:rsidR="00CE16FF" w:rsidRPr="00CE16FF">
        <w:rPr>
          <w:sz w:val="24"/>
        </w:rPr>
        <w:t>[4,5]</w:t>
      </w:r>
      <w:r w:rsidR="008F562F" w:rsidRPr="0011232A">
        <w:rPr>
          <w:rFonts w:eastAsia="Arial Narrow"/>
          <w:sz w:val="24"/>
          <w:szCs w:val="24"/>
        </w:rPr>
        <w:fldChar w:fldCharType="end"/>
      </w:r>
      <w:r>
        <w:rPr>
          <w:sz w:val="24"/>
          <w:szCs w:val="24"/>
        </w:rPr>
        <w:t xml:space="preserve">.</w:t>
      </w:r>
    </w:p>
    <w:p>
      <w:pPr>
        <w:numPr>
          <w:ilvl w:val="1"/>
          <w:numId w:val="1"/>
        </w:numPr>
        <w:spacing w:before="240" w:after="120" w:line="360" w:lineRule="auto"/>
        <w:ind w:left="1021" w:hanging="567"/>
        <w:jc w:val="both"/>
        <w:outlineLvl w:val="1"/>
        <w:rPr>
          <w:rFonts w:eastAsia="Arial Narrow"/>
          <w:b/>
          <w:bCs/>
          <w:sz w:val="24"/>
          <w:szCs w:val="24"/>
        </w:rPr>
      </w:pPr>
      <w:r>
        <w:rPr>
          <w:b/>
          <w:bCs/>
          <w:sz w:val="24"/>
          <w:szCs w:val="24"/>
        </w:rPr>
        <w:t xml:space="preserve">Análise estatística</w:t>
      </w:r>
    </w:p>
    <w:p>
      <w:pPr>
        <w:spacing w:line="360" w:lineRule="auto"/>
        <w:ind w:firstLine="284"/>
        <w:jc w:val="both"/>
        <w:rPr>
          <w:sz w:val="24"/>
          <w:szCs w:val="24"/>
        </w:rPr>
      </w:pPr>
      <w:r>
        <w:rPr>
          <w:sz w:val="24"/>
          <w:szCs w:val="24"/>
        </w:rPr>
        <w:t xml:space="preserve">A amostra será descrita por frequências relativas e média ± desvio-padrão ou mediana. A associação será estimada por regressão logística condicional, adequada ao emparelhamento, obtendo-se OR bruto e ajustado com IC 95% (nível de significância de 5%). O modelo ajustado incluirá todos os fatores de confusão referidos; a idade e o sexo, por serem variáveis de emparelhamento, ficam controlados pelo desenho. A dose-resposta será avaliada por teste de tendência e a modificação de efeito (tabagismo, sexo) por termos de interação e análise estratificada.</w:t>
      </w:r>
    </w:p>
    <w:p>
      <w:pPr>
        <w:numPr>
          <w:ilvl w:val="0"/>
          <w:numId w:val="1"/>
        </w:numPr>
        <w:spacing w:before="360" w:after="120" w:line="360" w:lineRule="auto"/>
        <w:ind w:left="714" w:hanging="357"/>
        <w:jc w:val="both"/>
        <w:outlineLvl w:val="0"/>
        <w:rPr>
          <w:rFonts w:eastAsia="Arial Narrow"/>
          <w:b/>
          <w:bCs/>
          <w:sz w:val="24"/>
          <w:szCs w:val="24"/>
        </w:rPr>
      </w:pPr>
      <w:r>
        <w:rPr>
          <w:b/>
          <w:bCs/>
          <w:sz w:val="24"/>
          <w:szCs w:val="24"/>
        </w:rPr>
        <w:t xml:space="preserve">Limitações do estudo</w:t>
      </w:r>
    </w:p>
    <w:p>
      <w:pPr>
        <w:spacing w:line="360" w:lineRule="auto"/>
        <w:ind w:firstLine="284"/>
        <w:jc w:val="both"/>
        <w:rPr>
          <w:sz w:val="24"/>
          <w:szCs w:val="24"/>
        </w:rPr>
      </w:pPr>
      <w:r>
        <w:rPr>
          <w:sz w:val="24"/>
          <w:szCs w:val="24"/>
        </w:rPr>
        <w:t xml:space="preserve">O viés de memória é minimizado com casos incidentes e entrevista padronizada, e a causalidade reversa (redução prodrómica do consumo de café) </w:t>
      </w:r>
      <w:r w:rsidR="007A206E">
        <w:rPr>
          <w:sz w:val="24"/>
          <w:szCs w:val="24"/>
        </w:rPr>
        <w:fldChar w:fldCharType="begin"/>
      </w:r>
      <w:r w:rsidR="00CE16FF">
        <w:rPr>
          <w:sz w:val="24"/>
          <w:szCs w:val="24"/>
        </w:rPr>
        <w:instrText xml:space="preserve"> ADDIN ZOTERO_ITEM CSL_CITATION {"citationID":"GVEEa9N0","properties":{"unsorted":false,"formattedCitation":"[4,7]","plainCitation":"[4,7]","noteIndex":0},"citationItems":[{"id":17,"uris":["http://zotero.org/users/21945073/items/MLWJ9JAC"],"itemData":{"id":17,"type":"article-journal","abstract":"Abstract\n            The etiology of Parkinson's disease (PD) is complex and multifactorial, depending on interactions involving environmental/lifestyle and genetic factors. The genetic aspects of the disease are becoming well characterized, while the environmental factors still need further investigation. In the present narrative review, we have described the most concrete evidence of associations between environmental factors and the risk of developing PD. Physical activity, healthy dietary patterns, smoking, and caffeine intake are protective factors against PD. Head trauma, consumption of milk and dairy products, and pesticide exposure were associated with a higher risk of developing PD. The associations of alcohol consumption, living in rural areas, farming, and consumption of well water with PD are still controversial. Results of several studies strongly suggest that diabetes mellitus is a risk factor for the development of PD, as well as the pre-diabetic state. Lower serum levels of uric acid were associated with an increased risk of developing PD and with worse clinical features and faster progression of symptoms. The protective effects of nonsteroidal antiinflammatory drugs use are controversial. Several other factors were potentially associated with the risk of developing PD: environmental pollutants such as organic solvents, exposure to sunlight, vitamin D deficiency, bullous pemphigoid, bipolar disorder, inflammatory bowel disease, irritable bowel syndrome, certain infections and agents, and essential tremor. Environmental factors are important risk markers for the development of PD. Understanding these risks and protective factors could lead to the implementation of risk-modifying actions for PD.","container-title":"Arquivos de Neuro-Psiquiatria","DOI":"10.1055/s-0045-1805075","ISSN":"0004-282X, 1678-4227","issue":"03","journalAbbreviation":"Arq Neuropsiquiatr","language":"en","license":"https://creativecommons.org/licenses/by/4.0/","page":"001-010","source":"DOI.org (Crossref)","title":"Modifiable risk factors associated with the risk of developing Parkinson's disease: a critical review","title-short":"Modifiable risk factors associated with the risk of developing Parkinson's disease","volume":"83","author":[{"family":"Tumas","given":"Vitor"},{"family":"Aureliano","given":"Marcelo Jhonatan"},{"family":"Rieder","given":"Carlos Roberto De Melo"},{"family":"Schuh","given":"Artur Francisco Schumacher"},{"family":"Ferraz","given":"Henrique Ballalai"},{"family":"Borges","given":"Vanderci"},{"family":"Soares","given":"Maria Carolina"},{"family":"Boone","given":"Dayany Leonel"},{"family":"Silva","given":"Carolina Candeias Da"},{"family":"Costa","given":"Mariana Cavalcanti"},{"family":"Silva","given":"Delson José Da"},{"family":"Carmo","given":"Aracelle Victor Do"},{"family":"Mikael","given":"Luana De Rezende"},{"family":"Santos-Lobato","given":"Bruno Lopes"},{"family":"Rosso","given":"Ana Lucia Zuma"},{"family":"Vilaça","given":"Celmir De Oliveira"},{"family":"Braga-Neto","given":"Pedro"},{"family":"Gomes","given":"André Borges Ferreira"},{"family":"Carvalho","given":"Camila Gonçalves Monteiro"},{"family":"Letro","given":"Grace Helena"},{"family":"Nicaretta","given":"Denise Hack"},{"family":"Coletta","given":"Marcus Vinicius Della"},{"family":"Barbosa","given":"Egberto Reis"},{"family":"Cury","given":"Rubens Gisbert"},{"family":"Cardoso","given":"Francisco Eduardo Costa"},{"family":"Camargos","given":"Sarah Teixeira"},{"family":"Mata","given":"Ignacio Fernandez"}],"issued":{"date-parts":[["2025",3]]}}},{"id":18,"uris":["http://zotero.org/users/21945073/items/YZ3JJNLE"],"itemData":{"id":18,"type":"article-journal","abstract":"The question whether life style may impair the advent or course of the disease in patients with Parkinsonism is of great importance for patients and physicians alike. We present here comprehensive information on the influence of the environment, diet (especially caffeine, nicotine, alcohol, chocolate and dairy products), physical activity and sleep on risk and course of Parkinson’s disease.","container-title":"Journal of Neural Transmission","DOI":"10.1007/s00702-022-02509-1","ISSN":"0300-9564, 1435-1463","issue":"9","journalAbbreviation":"J Neural Transm","language":"en","page":"1235-1245","source":"DOI.org (Crossref)","title":"Life style and Parkinson’s disease","volume":"129","author":[{"family":"Reichmann","given":"Heinz"},{"family":"Csoti","given":"Ilona"},{"family":"Koschel","given":"Jiri"},{"family":"Lorenzl","given":"Stefan"},{"family":"Schrader","given":"Christoph"},{"family":"Winkler","given":"Juergen"},{"family":"Wüllner","given":"Ullrich"}],"issued":{"date-parts":[["2022",9]]}}}],"schema":"https://github.com/citation-style-language/schema/raw/master/csl-citation.json"} </w:instrText>
      </w:r>
      <w:r w:rsidR="007A206E">
        <w:rPr>
          <w:sz w:val="24"/>
          <w:szCs w:val="24"/>
        </w:rPr>
        <w:fldChar w:fldCharType="separate"/>
      </w:r>
      <w:r w:rsidR="00CE16FF" w:rsidRPr="00CE16FF">
        <w:rPr>
          <w:sz w:val="24"/>
        </w:rPr>
        <w:t>[4,7]</w:t>
      </w:r>
      <w:r w:rsidR="007A206E">
        <w:rPr>
          <w:sz w:val="24"/>
          <w:szCs w:val="24"/>
        </w:rPr>
        <w:fldChar w:fldCharType="end"/>
      </w:r>
      <w:r>
        <w:rPr>
          <w:sz w:val="24"/>
          <w:szCs w:val="24"/>
        </w:rPr>
        <w:t xml:space="preserve"> com a avaliação do consumo 5 a 10 anos antes dos sintomas </w:t>
      </w:r>
      <w:r w:rsidR="007A206E">
        <w:rPr>
          <w:sz w:val="24"/>
          <w:szCs w:val="24"/>
        </w:rPr>
        <w:fldChar w:fldCharType="begin"/>
      </w:r>
      <w:r w:rsidR="007A206E">
        <w:rPr>
          <w:sz w:val="24"/>
          <w:szCs w:val="24"/>
        </w:rPr>
        <w:instrText xml:space="preserve"> ADDIN ZOTERO_ITEM CSL_CITATION {"citationID":"Coi4N7GK","properties":{"unsorted":false,"formattedCitation":"[1,4]","plainCitation":"[1,4]","noteIndex":0},"citationItems":[{"id":25,"uris":["http://zotero.org/users/local/LvC0uRfo/items/F52TYJYS","http://zotero.org/users/21945073/items/F52TYJYS"],"itemData":{"id":25,"type":"article-journal","abstract":"Coﬀee and caﬀeine are speculated to be associated with the reduced risk of Parkinson’s disease (PD). The present study aimed to investigate the disease-modifying potential of caﬀeine on PD, either for healthy people or patients, through a meta-analysis. The electronic databases were searched using terms related to PD and coﬀee and caﬀeinated food products. Articles were included only upon fulﬁllment of clear diagnostic criteria for PD and details regarding their caﬀeine content. Reference lists of relevant articles were reviewed to identify eligible studies not shortlisted using these terms. In total, the present study enrolled 13 studies, nine were categorized into a healthy cohort and the rest into a PD cohort. The individuals in the healthy cohort with regular caﬀeine consumption had a signiﬁcantly lower risk of PD during follow-up evaluation (hazard ratio (HR) = 0.797, 95% CI = 0.748–0.849, p &lt; 0.001). The outcomes of disease progression in PD cohorts included dyskinesia, motor ﬂuctuation, symptom onset, and levodopa initiation. Individuals consuming caﬀeine presented a signiﬁcantly lower rate of PD progression (HR = 0.834, 95% CI = 0.707–0.984, p = 0.03). In conclusion, caﬀeine modiﬁed disease risk and progression in PD, among both healthy individuals or those with PD. Potential biological beneﬁts, such as those obtained from adenosine 2A receptor antagonism, may require further investigation for designing new drugs.","container-title":"Nutrients","DOI":"10.3390/nu12061860","ISSN":"2072-6643","issue":"6","journalAbbreviation":"Nutrients","language":"en","page":"1860","source":"DOI.org (Crossref)","title":"The Effect of Caffeine on the Risk and Progression of Parkinson’s Disease: A Meta-Analysis","title-short":"The Effect of Caffeine on the Risk and Progression of Parkinson’s Disease","volume":"12","author":[{"family":"Hong","given":"Chien Tai"},{"family":"Chan","given":"Lung"},{"family":"Bai","given":"Chyi-Huey"}],"issued":{"date-parts":[["2020",6,22]]}}},{"id":17,"uris":["http://zotero.org/users/21945073/items/MLWJ9JAC"],"itemData":{"id":17,"type":"article-journal","abstract":"Abstract\n            The etiology of Parkinson's disease (PD) is complex and multifactorial, depending on interactions involving environmental/lifestyle and genetic factors. The genetic aspects of the disease are becoming well characterized, while the environmental factors still need further investigation. In the present narrative review, we have described the most concrete evidence of associations between environmental factors and the risk of developing PD. Physical activity, healthy dietary patterns, smoking, and caffeine intake are protective factors against PD. Head trauma, consumption of milk and dairy products, and pesticide exposure were associated with a higher risk of developing PD. The associations of alcohol consumption, living in rural areas, farming, and consumption of well water with PD are still controversial. Results of several studies strongly suggest that diabetes mellitus is a risk factor for the development of PD, as well as the pre-diabetic state. Lower serum levels of uric acid were associated with an increased risk of developing PD and with worse clinical features and faster progression of symptoms. The protective effects of nonsteroidal antiinflammatory drugs use are controversial. Several other factors were potentially associated with the risk of developing PD: environmental pollutants such as organic solvents, exposure to sunlight, vitamin D deficiency, bullous pemphigoid, bipolar disorder, inflammatory bowel disease, irritable bowel syndrome, certain infections and agents, and essential tremor. Environmental factors are important risk markers for the development of PD. Understanding these risks and protective factors could lead to the implementation of risk-modifying actions for PD.","container-title":"Arquivos de Neuro-Psiquiatria","DOI":"10.1055/s-0045-1805075","ISSN":"0004-282X, 1678-4227","issue":"03","journalAbbreviation":"Arq Neuropsiquiatr","language":"en","license":"https://creativecommons.org/licenses/by/4.0/","page":"001-010","source":"DOI.org (Crossref)","title":"Modifiable risk factors associated with the risk of developing Parkinson's disease: a critical review","title-short":"Modifiable risk factors associated with the risk of developing Parkinson's disease","volume":"83","author":[{"family":"Tumas","given":"Vitor"},{"family":"Aureliano","given":"Marcelo Jhonatan"},{"family":"Rieder","given":"Carlos Roberto De Melo"},{"family":"Schuh","given":"Artur Francisco Schumacher"},{"family":"Ferraz","given":"Henrique Ballalai"},{"family":"Borges","given":"Vanderci"},{"family":"Soares","given":"Maria Carolina"},{"family":"Boone","given":"Dayany Leonel"},{"family":"Silva","given":"Carolina Candeias Da"},{"family":"Costa","given":"Mariana Cavalcanti"},{"family":"Silva","given":"Delson José Da"},{"family":"Carmo","given":"Aracelle Victor Do"},{"family":"Mikael","given":"Luana De Rezende"},{"family":"Santos-Lobato","given":"Bruno Lopes"},{"family":"Rosso","given":"Ana Lucia Zuma"},{"family":"Vilaça","given":"Celmir De Oliveira"},{"family":"Braga-Neto","given":"Pedro"},{"family":"Gomes","given":"André Borges Ferreira"},{"family":"Carvalho","given":"Camila Gonçalves Monteiro"},{"family":"Letro","given":"Grace Helena"},{"family":"Nicaretta","given":"Denise Hack"},{"family":"Coletta","given":"Marcus Vinicius Della"},{"family":"Barbosa","given":"Egberto Reis"},{"family":"Cury","given":"Rubens Gisbert"},{"family":"Cardoso","given":"Francisco Eduardo Costa"},{"family":"Camargos","given":"Sarah Teixeira"},{"family":"Mata","given":"Ignacio Fernandez"}],"issued":{"date-parts":[["2025",3]]}}}],"schema":"https://github.com/citation-style-language/schema/raw/master/csl-citation.json"} </w:instrText>
      </w:r>
      <w:r w:rsidR="007A206E">
        <w:rPr>
          <w:sz w:val="24"/>
          <w:szCs w:val="24"/>
        </w:rPr>
        <w:fldChar w:fldCharType="separate"/>
      </w:r>
      <w:r w:rsidR="007A206E" w:rsidRPr="007A206E">
        <w:rPr>
          <w:sz w:val="24"/>
        </w:rPr>
        <w:t>[1,4]</w:t>
      </w:r>
      <w:r w:rsidR="007A206E">
        <w:rPr>
          <w:sz w:val="24"/>
          <w:szCs w:val="24"/>
        </w:rPr>
        <w:fldChar w:fldCharType="end"/>
      </w:r>
      <w:r>
        <w:rPr>
          <w:sz w:val="24"/>
          <w:szCs w:val="24"/>
        </w:rPr>
        <w:t xml:space="preserve">. Sendo observacional, o estudo identifica associações, mas não estabelece causalidade.</w:t>
      </w:r>
    </w:p>
    <w:p>
      <w:pPr>
        <w:numPr>
          <w:ilvl w:val="0"/>
          <w:numId w:val="1"/>
        </w:numPr>
        <w:spacing w:before="360" w:after="120" w:line="360" w:lineRule="auto"/>
        <w:ind w:left="714" w:hanging="357"/>
        <w:jc w:val="both"/>
        <w:outlineLvl w:val="0"/>
        <w:rPr>
          <w:rFonts w:eastAsia="Arial Narrow"/>
          <w:b/>
          <w:bCs/>
          <w:sz w:val="24"/>
          <w:szCs w:val="24"/>
        </w:rPr>
      </w:pPr>
      <w:r>
        <w:rPr>
          <w:b/>
          <w:bCs/>
          <w:sz w:val="24"/>
          <w:szCs w:val="24"/>
        </w:rPr>
        <w:t xml:space="preserve">Gestão de dados e considerações éticas</w:t>
      </w:r>
    </w:p>
    <w:p>
      <w:pPr>
        <w:spacing w:line="360" w:lineRule="auto"/>
        <w:ind w:firstLine="284"/>
        <w:jc w:val="both"/>
        <w:rPr>
          <w:sz w:val="24"/>
          <w:szCs w:val="24"/>
        </w:rPr>
      </w:pPr>
      <w:r>
        <w:rPr>
          <w:sz w:val="24"/>
          <w:szCs w:val="24"/>
        </w:rPr>
        <w:t xml:space="preserve">O protocolo será submetido às Comissões de Ética para a Saúde das ULS participantes e cumprirá o Regulamento Geral sobre a Proteção de Dados </w:t>
      </w:r>
      <w:r>
        <w:rPr>
          <w:sz w:val="24"/>
          <w:szCs w:val="24"/>
        </w:rPr>
        <w:fldChar w:fldCharType="begin"/>
      </w:r>
      <w:r w:rsidR="00CE16FF">
        <w:rPr>
          <w:sz w:val="24"/>
          <w:szCs w:val="24"/>
        </w:rPr>
        <w:instrText xml:space="preserve"> ADDIN ZOTERO_ITEM CSL_CITATION {"citationID":"x4Y3DcEp","properties":{"unsorted":false,"formattedCitation":"[18]","plainCitation":"[18]","noteIndex":0},"citationItems":[{"id":29,"uris":["http://zotero.org/users/21945073/items/N4BXZ3GZ"],"itemData":{"id":29,"type":"document","genre":"Regulamento","language":"pt","publisher":"Jornal Oficial da União Europeia, L 119/1","publisher-place":"Bruxelas","source":"Zotero","title":"REGULAMENTO (UE)  2016/  679  DO  PARLAMENTO  EUROPEU  E  DO  CONSELHO  -  de  27  de  abril  de  2016  -  relativo  à  proteção  das  pessoas  singulares  no  que  diz  respeito  ao  tratamento  de  dados  pessoais  e  à  livre  circulação  desses  dados  e  que  revoga  a  Diretiva  95/  46/  CE  (Regulamento  Geral  sobre  a  Proteção  de  Dados)","URL":"https://data.europa.eu/eli/reg/2016/679/oj","author":[{"literal":"Parlamento Europeu e Conselho da União Europeia"}],"issued":{"date-parts":[["2016"]]}}}],"schema":"https://github.com/citation-style-language/schema/raw/master/csl-citation.json"} </w:instrText>
      </w:r>
      <w:r>
        <w:rPr>
          <w:sz w:val="24"/>
          <w:szCs w:val="24"/>
        </w:rPr>
        <w:fldChar w:fldCharType="separate"/>
      </w:r>
      <w:r w:rsidR="00CE16FF" w:rsidRPr="00CE16FF">
        <w:rPr>
          <w:sz w:val="24"/>
        </w:rPr>
        <w:t>[18]</w:t>
      </w:r>
      <w:r>
        <w:rPr>
          <w:sz w:val="24"/>
          <w:szCs w:val="24"/>
        </w:rPr>
        <w:fldChar w:fldCharType="end"/>
      </w:r>
      <w:r>
        <w:rPr>
          <w:sz w:val="24"/>
          <w:szCs w:val="24"/>
        </w:rPr>
        <w:t xml:space="preserve">. A participação é voluntária, mediante consentimento informado, livre e esclarecido, e os dados serão pseudonimizados e guardados em servidor institucional de acesso restrito.</w:t>
      </w:r>
    </w:p>
    <w:p w14:paraId="340AA32B" w14:textId="77777777" w:rsidR="00461B4B" w:rsidRPr="00446E16" w:rsidRDefault="00000000" w:rsidP="00446E16">
      <w:pPr>
        <w:numPr>
          <w:ilvl w:val="0"/>
          <w:numId w:val="1"/>
        </w:numPr>
        <w:spacing w:before="360" w:after="120" w:line="360" w:lineRule="auto"/>
        <w:ind w:left="714" w:hanging="357"/>
        <w:jc w:val="both"/>
        <w:outlineLvl w:val="0"/>
        <w:rPr>
          <w:rFonts w:eastAsia="Arial Narrow"/>
          <w:b/>
          <w:bCs/>
          <w:sz w:val="24"/>
          <w:szCs w:val="24"/>
        </w:rPr>
      </w:pPr>
      <w:r w:rsidRPr="00446E16">
        <w:rPr>
          <w:rFonts w:eastAsia="Arial Narrow"/>
          <w:b/>
          <w:bCs/>
          <w:sz w:val="24"/>
          <w:szCs w:val="24"/>
        </w:rPr>
        <w:lastRenderedPageBreak/>
        <w:t>Referências</w:t>
      </w:r>
    </w:p>
    <w:p w14:paraId="4EB025E2" w14:textId="77777777" w:rsidR="00B850CD" w:rsidRPr="00B850CD" w:rsidRDefault="00330E7E" w:rsidP="00B850CD">
      <w:pPr>
        <w:pStyle w:val="Bibliografia"/>
      </w:pPr>
      <w:r w:rsidRPr="00330E7E">
        <w:rPr>
          <w:rFonts w:eastAsia="Oswald"/>
        </w:rPr>
        <w:fldChar w:fldCharType="begin"/>
      </w:r>
      <w:r w:rsidR="00B850CD">
        <w:rPr>
          <w:rFonts w:eastAsia="Oswald"/>
        </w:rPr>
        <w:instrText xml:space="preserve"> ADDIN ZOTERO_BIBL {"uncited":[],"omitted":[],"custom":[]} CSL_BIBLIOGRAPHY </w:instrText>
      </w:r>
      <w:r w:rsidRPr="00330E7E">
        <w:rPr>
          <w:rFonts w:eastAsia="Oswald"/>
        </w:rPr>
        <w:fldChar w:fldCharType="separate"/>
      </w:r>
      <w:r w:rsidR="00B850CD" w:rsidRPr="00B850CD">
        <w:t>1.</w:t>
      </w:r>
      <w:r w:rsidR="00B850CD" w:rsidRPr="00B850CD">
        <w:tab/>
        <w:t xml:space="preserve">Hong CT, </w:t>
      </w:r>
      <w:proofErr w:type="spellStart"/>
      <w:r w:rsidR="00B850CD" w:rsidRPr="00B850CD">
        <w:t>Chan</w:t>
      </w:r>
      <w:proofErr w:type="spellEnd"/>
      <w:r w:rsidR="00B850CD" w:rsidRPr="00B850CD">
        <w:t xml:space="preserve"> L, </w:t>
      </w:r>
      <w:proofErr w:type="spellStart"/>
      <w:r w:rsidR="00B850CD" w:rsidRPr="00B850CD">
        <w:t>Bai</w:t>
      </w:r>
      <w:proofErr w:type="spellEnd"/>
      <w:r w:rsidR="00B850CD" w:rsidRPr="00B850CD">
        <w:t xml:space="preserve"> CH. </w:t>
      </w:r>
      <w:proofErr w:type="spellStart"/>
      <w:r w:rsidR="00B850CD" w:rsidRPr="00B850CD">
        <w:t>The</w:t>
      </w:r>
      <w:proofErr w:type="spellEnd"/>
      <w:r w:rsidR="00B850CD" w:rsidRPr="00B850CD">
        <w:t xml:space="preserve"> Effect </w:t>
      </w:r>
      <w:proofErr w:type="spellStart"/>
      <w:r w:rsidR="00B850CD" w:rsidRPr="00B850CD">
        <w:t>of</w:t>
      </w:r>
      <w:proofErr w:type="spellEnd"/>
      <w:r w:rsidR="00B850CD" w:rsidRPr="00B850CD">
        <w:t xml:space="preserve"> </w:t>
      </w:r>
      <w:proofErr w:type="spellStart"/>
      <w:r w:rsidR="00B850CD" w:rsidRPr="00B850CD">
        <w:t>Caffeine</w:t>
      </w:r>
      <w:proofErr w:type="spellEnd"/>
      <w:r w:rsidR="00B850CD" w:rsidRPr="00B850CD">
        <w:t xml:space="preserve"> </w:t>
      </w:r>
      <w:proofErr w:type="spellStart"/>
      <w:r w:rsidR="00B850CD" w:rsidRPr="00B850CD">
        <w:t>on</w:t>
      </w:r>
      <w:proofErr w:type="spellEnd"/>
      <w:r w:rsidR="00B850CD" w:rsidRPr="00B850CD">
        <w:t xml:space="preserve"> </w:t>
      </w:r>
      <w:proofErr w:type="spellStart"/>
      <w:r w:rsidR="00B850CD" w:rsidRPr="00B850CD">
        <w:t>the</w:t>
      </w:r>
      <w:proofErr w:type="spellEnd"/>
      <w:r w:rsidR="00B850CD" w:rsidRPr="00B850CD">
        <w:t xml:space="preserve"> </w:t>
      </w:r>
      <w:proofErr w:type="spellStart"/>
      <w:r w:rsidR="00B850CD" w:rsidRPr="00B850CD">
        <w:t>Risk</w:t>
      </w:r>
      <w:proofErr w:type="spellEnd"/>
      <w:r w:rsidR="00B850CD" w:rsidRPr="00B850CD">
        <w:t xml:space="preserve"> </w:t>
      </w:r>
      <w:proofErr w:type="spellStart"/>
      <w:r w:rsidR="00B850CD" w:rsidRPr="00B850CD">
        <w:t>and</w:t>
      </w:r>
      <w:proofErr w:type="spellEnd"/>
      <w:r w:rsidR="00B850CD" w:rsidRPr="00B850CD">
        <w:t xml:space="preserve"> </w:t>
      </w:r>
      <w:proofErr w:type="spellStart"/>
      <w:r w:rsidR="00B850CD" w:rsidRPr="00B850CD">
        <w:t>Progression</w:t>
      </w:r>
      <w:proofErr w:type="spellEnd"/>
      <w:r w:rsidR="00B850CD" w:rsidRPr="00B850CD">
        <w:t xml:space="preserve"> </w:t>
      </w:r>
      <w:proofErr w:type="spellStart"/>
      <w:r w:rsidR="00B850CD" w:rsidRPr="00B850CD">
        <w:t>of</w:t>
      </w:r>
      <w:proofErr w:type="spellEnd"/>
      <w:r w:rsidR="00B850CD" w:rsidRPr="00B850CD">
        <w:t xml:space="preserve"> </w:t>
      </w:r>
      <w:proofErr w:type="spellStart"/>
      <w:r w:rsidR="00B850CD" w:rsidRPr="00B850CD">
        <w:t>Parkinson’s</w:t>
      </w:r>
      <w:proofErr w:type="spellEnd"/>
      <w:r w:rsidR="00B850CD" w:rsidRPr="00B850CD">
        <w:t xml:space="preserve"> </w:t>
      </w:r>
      <w:proofErr w:type="spellStart"/>
      <w:r w:rsidR="00B850CD" w:rsidRPr="00B850CD">
        <w:t>Disease</w:t>
      </w:r>
      <w:proofErr w:type="spellEnd"/>
      <w:r w:rsidR="00B850CD" w:rsidRPr="00B850CD">
        <w:t>: A Meta-</w:t>
      </w:r>
      <w:proofErr w:type="spellStart"/>
      <w:r w:rsidR="00B850CD" w:rsidRPr="00B850CD">
        <w:t>Analysis</w:t>
      </w:r>
      <w:proofErr w:type="spellEnd"/>
      <w:r w:rsidR="00B850CD" w:rsidRPr="00B850CD">
        <w:t xml:space="preserve">. </w:t>
      </w:r>
      <w:proofErr w:type="spellStart"/>
      <w:r w:rsidR="00B850CD" w:rsidRPr="00B850CD">
        <w:t>Nutrients</w:t>
      </w:r>
      <w:proofErr w:type="spellEnd"/>
      <w:r w:rsidR="00B850CD" w:rsidRPr="00B850CD">
        <w:t>. 22 de junho de 2020;12(6):1860. doi:10.3390/nu12061860</w:t>
      </w:r>
    </w:p>
    <w:p w14:paraId="56AA2172" w14:textId="77777777" w:rsidR="00B850CD" w:rsidRPr="00B850CD" w:rsidRDefault="00B850CD" w:rsidP="00B850CD">
      <w:pPr>
        <w:pStyle w:val="Bibliografia"/>
      </w:pPr>
      <w:r w:rsidRPr="00B850CD">
        <w:t>2.</w:t>
      </w:r>
      <w:r w:rsidRPr="00B850CD">
        <w:tab/>
        <w:t xml:space="preserve">Jia F, </w:t>
      </w:r>
      <w:proofErr w:type="spellStart"/>
      <w:r w:rsidRPr="00B850CD">
        <w:t>Fellner</w:t>
      </w:r>
      <w:proofErr w:type="spellEnd"/>
      <w:r w:rsidRPr="00B850CD">
        <w:t xml:space="preserve"> A, Kumar KR. </w:t>
      </w:r>
      <w:proofErr w:type="spellStart"/>
      <w:r w:rsidRPr="00B850CD">
        <w:t>Monogenic</w:t>
      </w:r>
      <w:proofErr w:type="spellEnd"/>
      <w:r w:rsidRPr="00B850CD">
        <w:t xml:space="preserve"> </w:t>
      </w:r>
      <w:proofErr w:type="spellStart"/>
      <w:r w:rsidRPr="00B850CD">
        <w:t>Parkinson’s</w:t>
      </w:r>
      <w:proofErr w:type="spellEnd"/>
      <w:r w:rsidRPr="00B850CD">
        <w:t xml:space="preserve"> </w:t>
      </w:r>
      <w:proofErr w:type="spellStart"/>
      <w:r w:rsidRPr="00B850CD">
        <w:t>Disease</w:t>
      </w:r>
      <w:proofErr w:type="spellEnd"/>
      <w:r w:rsidRPr="00B850CD">
        <w:t xml:space="preserve">: </w:t>
      </w:r>
      <w:proofErr w:type="spellStart"/>
      <w:r w:rsidRPr="00B850CD">
        <w:t>Genotype</w:t>
      </w:r>
      <w:proofErr w:type="spellEnd"/>
      <w:r w:rsidRPr="00B850CD">
        <w:t xml:space="preserve">, </w:t>
      </w:r>
      <w:proofErr w:type="spellStart"/>
      <w:r w:rsidRPr="00B850CD">
        <w:t>Phenotype</w:t>
      </w:r>
      <w:proofErr w:type="spellEnd"/>
      <w:r w:rsidRPr="00B850CD">
        <w:t xml:space="preserve">, </w:t>
      </w:r>
      <w:proofErr w:type="spellStart"/>
      <w:r w:rsidRPr="00B850CD">
        <w:t>Pathophysiology</w:t>
      </w:r>
      <w:proofErr w:type="spellEnd"/>
      <w:r w:rsidRPr="00B850CD">
        <w:t xml:space="preserve">, </w:t>
      </w:r>
      <w:proofErr w:type="spellStart"/>
      <w:r w:rsidRPr="00B850CD">
        <w:t>and</w:t>
      </w:r>
      <w:proofErr w:type="spellEnd"/>
      <w:r w:rsidRPr="00B850CD">
        <w:t xml:space="preserve"> </w:t>
      </w:r>
      <w:proofErr w:type="spellStart"/>
      <w:r w:rsidRPr="00B850CD">
        <w:t>Genetic</w:t>
      </w:r>
      <w:proofErr w:type="spellEnd"/>
      <w:r w:rsidRPr="00B850CD">
        <w:t xml:space="preserve"> </w:t>
      </w:r>
      <w:proofErr w:type="spellStart"/>
      <w:r w:rsidRPr="00B850CD">
        <w:t>Testing</w:t>
      </w:r>
      <w:proofErr w:type="spellEnd"/>
      <w:r w:rsidRPr="00B850CD">
        <w:t>. Genes. março de 2022;13(3):471. doi:10.3390/genes13030471</w:t>
      </w:r>
    </w:p>
    <w:p w14:paraId="57D20427" w14:textId="77777777" w:rsidR="00B850CD" w:rsidRPr="00B850CD" w:rsidRDefault="00B850CD" w:rsidP="00B850CD">
      <w:pPr>
        <w:pStyle w:val="Bibliografia"/>
      </w:pPr>
      <w:r w:rsidRPr="00B850CD">
        <w:t>3.</w:t>
      </w:r>
      <w:r w:rsidRPr="00B850CD">
        <w:tab/>
      </w:r>
      <w:proofErr w:type="spellStart"/>
      <w:r w:rsidRPr="00B850CD">
        <w:t>Kiyohara</w:t>
      </w:r>
      <w:proofErr w:type="spellEnd"/>
      <w:r w:rsidRPr="00B850CD">
        <w:t xml:space="preserve"> C, </w:t>
      </w:r>
      <w:proofErr w:type="spellStart"/>
      <w:r w:rsidRPr="00B850CD">
        <w:t>Kusuhara</w:t>
      </w:r>
      <w:proofErr w:type="spellEnd"/>
      <w:r w:rsidRPr="00B850CD">
        <w:t xml:space="preserve"> S. </w:t>
      </w:r>
      <w:proofErr w:type="spellStart"/>
      <w:r w:rsidRPr="00B850CD">
        <w:t>Cigarette</w:t>
      </w:r>
      <w:proofErr w:type="spellEnd"/>
      <w:r w:rsidRPr="00B850CD">
        <w:t xml:space="preserve"> Smoking </w:t>
      </w:r>
      <w:proofErr w:type="spellStart"/>
      <w:r w:rsidRPr="00B850CD">
        <w:t>and</w:t>
      </w:r>
      <w:proofErr w:type="spellEnd"/>
      <w:r w:rsidRPr="00B850CD">
        <w:t xml:space="preserve"> </w:t>
      </w:r>
      <w:proofErr w:type="spellStart"/>
      <w:r w:rsidRPr="00B850CD">
        <w:t>Parkinson’s</w:t>
      </w:r>
      <w:proofErr w:type="spellEnd"/>
      <w:r w:rsidRPr="00B850CD">
        <w:t xml:space="preserve"> </w:t>
      </w:r>
      <w:proofErr w:type="spellStart"/>
      <w:proofErr w:type="gramStart"/>
      <w:r w:rsidRPr="00B850CD">
        <w:t>Disease</w:t>
      </w:r>
      <w:proofErr w:type="spellEnd"/>
      <w:r w:rsidRPr="00B850CD">
        <w:t> :</w:t>
      </w:r>
      <w:proofErr w:type="gramEnd"/>
      <w:r w:rsidRPr="00B850CD">
        <w:t xml:space="preserve"> A Meta-</w:t>
      </w:r>
      <w:proofErr w:type="spellStart"/>
      <w:r w:rsidRPr="00B850CD">
        <w:t>Analysis</w:t>
      </w:r>
      <w:proofErr w:type="spellEnd"/>
      <w:r w:rsidRPr="00B850CD">
        <w:t xml:space="preserve"> [Internet]. </w:t>
      </w:r>
      <w:proofErr w:type="spellStart"/>
      <w:r w:rsidRPr="00B850CD">
        <w:t>Fukuoka</w:t>
      </w:r>
      <w:proofErr w:type="spellEnd"/>
      <w:r w:rsidRPr="00B850CD">
        <w:t xml:space="preserve"> Medical </w:t>
      </w:r>
      <w:proofErr w:type="spellStart"/>
      <w:r w:rsidRPr="00B850CD">
        <w:t>Association</w:t>
      </w:r>
      <w:proofErr w:type="spellEnd"/>
      <w:r w:rsidRPr="00B850CD">
        <w:t>; 2011 [citado 6 de outubro de 2026]. Disponível em: https://doi.org/10.15017/20014 doi:10.15017/20014</w:t>
      </w:r>
    </w:p>
    <w:p w14:paraId="2EF64208" w14:textId="77777777" w:rsidR="00B850CD" w:rsidRPr="00B850CD" w:rsidRDefault="00B850CD" w:rsidP="00B850CD">
      <w:pPr>
        <w:pStyle w:val="Bibliografia"/>
      </w:pPr>
      <w:r w:rsidRPr="00B850CD">
        <w:t>4.</w:t>
      </w:r>
      <w:r w:rsidRPr="00B850CD">
        <w:tab/>
      </w:r>
      <w:proofErr w:type="spellStart"/>
      <w:r w:rsidRPr="00B850CD">
        <w:t>Tumas</w:t>
      </w:r>
      <w:proofErr w:type="spellEnd"/>
      <w:r w:rsidRPr="00B850CD">
        <w:t xml:space="preserve"> V, Aureliano MJ, </w:t>
      </w:r>
      <w:proofErr w:type="spellStart"/>
      <w:r w:rsidRPr="00B850CD">
        <w:t>Rieder</w:t>
      </w:r>
      <w:proofErr w:type="spellEnd"/>
      <w:r w:rsidRPr="00B850CD">
        <w:t xml:space="preserve"> CRDM, </w:t>
      </w:r>
      <w:proofErr w:type="spellStart"/>
      <w:r w:rsidRPr="00B850CD">
        <w:t>Schuh</w:t>
      </w:r>
      <w:proofErr w:type="spellEnd"/>
      <w:r w:rsidRPr="00B850CD">
        <w:t xml:space="preserve"> AFS, Ferraz HB, Borges V, </w:t>
      </w:r>
      <w:proofErr w:type="spellStart"/>
      <w:r w:rsidRPr="00B850CD">
        <w:t>et</w:t>
      </w:r>
      <w:proofErr w:type="spellEnd"/>
      <w:r w:rsidRPr="00B850CD">
        <w:t xml:space="preserve"> al. </w:t>
      </w:r>
      <w:proofErr w:type="spellStart"/>
      <w:r w:rsidRPr="00B850CD">
        <w:t>Modifiable</w:t>
      </w:r>
      <w:proofErr w:type="spellEnd"/>
      <w:r w:rsidRPr="00B850CD">
        <w:t xml:space="preserve"> </w:t>
      </w:r>
      <w:proofErr w:type="spellStart"/>
      <w:r w:rsidRPr="00B850CD">
        <w:t>risk</w:t>
      </w:r>
      <w:proofErr w:type="spellEnd"/>
      <w:r w:rsidRPr="00B850CD">
        <w:t xml:space="preserve"> </w:t>
      </w:r>
      <w:proofErr w:type="spellStart"/>
      <w:r w:rsidRPr="00B850CD">
        <w:t>factors</w:t>
      </w:r>
      <w:proofErr w:type="spellEnd"/>
      <w:r w:rsidRPr="00B850CD">
        <w:t xml:space="preserve"> </w:t>
      </w:r>
      <w:proofErr w:type="spellStart"/>
      <w:r w:rsidRPr="00B850CD">
        <w:t>associated</w:t>
      </w:r>
      <w:proofErr w:type="spellEnd"/>
      <w:r w:rsidRPr="00B850CD">
        <w:t xml:space="preserve"> </w:t>
      </w:r>
      <w:proofErr w:type="spellStart"/>
      <w:r w:rsidRPr="00B850CD">
        <w:t>with</w:t>
      </w:r>
      <w:proofErr w:type="spellEnd"/>
      <w:r w:rsidRPr="00B850CD">
        <w:t xml:space="preserve"> </w:t>
      </w:r>
      <w:proofErr w:type="spellStart"/>
      <w:r w:rsidRPr="00B850CD">
        <w:t>the</w:t>
      </w:r>
      <w:proofErr w:type="spellEnd"/>
      <w:r w:rsidRPr="00B850CD">
        <w:t xml:space="preserve"> </w:t>
      </w:r>
      <w:proofErr w:type="spellStart"/>
      <w:r w:rsidRPr="00B850CD">
        <w:t>risk</w:t>
      </w:r>
      <w:proofErr w:type="spellEnd"/>
      <w:r w:rsidRPr="00B850CD">
        <w:t xml:space="preserve"> </w:t>
      </w:r>
      <w:proofErr w:type="spellStart"/>
      <w:r w:rsidRPr="00B850CD">
        <w:t>of</w:t>
      </w:r>
      <w:proofErr w:type="spellEnd"/>
      <w:r w:rsidRPr="00B850CD">
        <w:t xml:space="preserve"> </w:t>
      </w:r>
      <w:proofErr w:type="spellStart"/>
      <w:r w:rsidRPr="00B850CD">
        <w:t>developing</w:t>
      </w:r>
      <w:proofErr w:type="spellEnd"/>
      <w:r w:rsidRPr="00B850CD">
        <w:t xml:space="preserve"> </w:t>
      </w:r>
      <w:proofErr w:type="spellStart"/>
      <w:r w:rsidRPr="00B850CD">
        <w:t>Parkinson’s</w:t>
      </w:r>
      <w:proofErr w:type="spellEnd"/>
      <w:r w:rsidRPr="00B850CD">
        <w:t xml:space="preserve"> </w:t>
      </w:r>
      <w:proofErr w:type="spellStart"/>
      <w:r w:rsidRPr="00B850CD">
        <w:t>disease</w:t>
      </w:r>
      <w:proofErr w:type="spellEnd"/>
      <w:r w:rsidRPr="00B850CD">
        <w:t xml:space="preserve">: a </w:t>
      </w:r>
      <w:proofErr w:type="spellStart"/>
      <w:r w:rsidRPr="00B850CD">
        <w:t>critical</w:t>
      </w:r>
      <w:proofErr w:type="spellEnd"/>
      <w:r w:rsidRPr="00B850CD">
        <w:t xml:space="preserve"> </w:t>
      </w:r>
      <w:proofErr w:type="spellStart"/>
      <w:r w:rsidRPr="00B850CD">
        <w:t>review</w:t>
      </w:r>
      <w:proofErr w:type="spellEnd"/>
      <w:r w:rsidRPr="00B850CD">
        <w:t xml:space="preserve">. </w:t>
      </w:r>
      <w:proofErr w:type="spellStart"/>
      <w:r w:rsidRPr="00B850CD">
        <w:t>Arq</w:t>
      </w:r>
      <w:proofErr w:type="spellEnd"/>
      <w:r w:rsidRPr="00B850CD">
        <w:t xml:space="preserve"> </w:t>
      </w:r>
      <w:proofErr w:type="spellStart"/>
      <w:r w:rsidRPr="00B850CD">
        <w:t>Neuropsiquiatr</w:t>
      </w:r>
      <w:proofErr w:type="spellEnd"/>
      <w:r w:rsidRPr="00B850CD">
        <w:t>. março de 2025;83(03):001–10. doi:10.1055/s-0045-1805075</w:t>
      </w:r>
    </w:p>
    <w:p w14:paraId="384FFC08" w14:textId="77777777" w:rsidR="00B850CD" w:rsidRPr="00B850CD" w:rsidRDefault="00B850CD" w:rsidP="00B850CD">
      <w:pPr>
        <w:pStyle w:val="Bibliografia"/>
      </w:pPr>
      <w:r w:rsidRPr="00B850CD">
        <w:t>5.</w:t>
      </w:r>
      <w:r w:rsidRPr="00B850CD">
        <w:tab/>
      </w:r>
      <w:proofErr w:type="spellStart"/>
      <w:r w:rsidRPr="00B850CD">
        <w:t>Grotewold</w:t>
      </w:r>
      <w:proofErr w:type="spellEnd"/>
      <w:r w:rsidRPr="00B850CD">
        <w:t xml:space="preserve"> N, </w:t>
      </w:r>
      <w:proofErr w:type="spellStart"/>
      <w:r w:rsidRPr="00B850CD">
        <w:t>Albin</w:t>
      </w:r>
      <w:proofErr w:type="spellEnd"/>
      <w:r w:rsidRPr="00B850CD">
        <w:t xml:space="preserve"> RL. </w:t>
      </w:r>
      <w:proofErr w:type="spellStart"/>
      <w:r w:rsidRPr="00B850CD">
        <w:t>Update</w:t>
      </w:r>
      <w:proofErr w:type="spellEnd"/>
      <w:r w:rsidRPr="00B850CD">
        <w:t xml:space="preserve">: </w:t>
      </w:r>
      <w:proofErr w:type="spellStart"/>
      <w:r w:rsidRPr="00B850CD">
        <w:t>Protective</w:t>
      </w:r>
      <w:proofErr w:type="spellEnd"/>
      <w:r w:rsidRPr="00B850CD">
        <w:t xml:space="preserve"> </w:t>
      </w:r>
      <w:proofErr w:type="spellStart"/>
      <w:r w:rsidRPr="00B850CD">
        <w:t>and</w:t>
      </w:r>
      <w:proofErr w:type="spellEnd"/>
      <w:r w:rsidRPr="00B850CD">
        <w:t xml:space="preserve"> </w:t>
      </w:r>
      <w:proofErr w:type="spellStart"/>
      <w:r w:rsidRPr="00B850CD">
        <w:t>risk</w:t>
      </w:r>
      <w:proofErr w:type="spellEnd"/>
      <w:r w:rsidRPr="00B850CD">
        <w:t xml:space="preserve"> </w:t>
      </w:r>
      <w:proofErr w:type="spellStart"/>
      <w:r w:rsidRPr="00B850CD">
        <w:t>factors</w:t>
      </w:r>
      <w:proofErr w:type="spellEnd"/>
      <w:r w:rsidRPr="00B850CD">
        <w:t xml:space="preserve"> for Parkinson </w:t>
      </w:r>
      <w:proofErr w:type="spellStart"/>
      <w:r w:rsidRPr="00B850CD">
        <w:t>disease</w:t>
      </w:r>
      <w:proofErr w:type="spellEnd"/>
      <w:r w:rsidRPr="00B850CD">
        <w:t xml:space="preserve">. </w:t>
      </w:r>
      <w:proofErr w:type="spellStart"/>
      <w:r w:rsidRPr="00B850CD">
        <w:t>Parkinsonism</w:t>
      </w:r>
      <w:proofErr w:type="spellEnd"/>
      <w:r w:rsidRPr="00B850CD">
        <w:t xml:space="preserve"> &amp; </w:t>
      </w:r>
      <w:proofErr w:type="spellStart"/>
      <w:r w:rsidRPr="00B850CD">
        <w:t>Related</w:t>
      </w:r>
      <w:proofErr w:type="spellEnd"/>
      <w:r w:rsidRPr="00B850CD">
        <w:t xml:space="preserve"> </w:t>
      </w:r>
      <w:proofErr w:type="spellStart"/>
      <w:r w:rsidRPr="00B850CD">
        <w:t>Disorders</w:t>
      </w:r>
      <w:proofErr w:type="spellEnd"/>
      <w:r w:rsidRPr="00B850CD">
        <w:t xml:space="preserve">. agosto de </w:t>
      </w:r>
      <w:proofErr w:type="gramStart"/>
      <w:r w:rsidRPr="00B850CD">
        <w:t>2024;125:107026</w:t>
      </w:r>
      <w:proofErr w:type="gramEnd"/>
      <w:r w:rsidRPr="00B850CD">
        <w:t xml:space="preserve">. </w:t>
      </w:r>
      <w:proofErr w:type="gramStart"/>
      <w:r w:rsidRPr="00B850CD">
        <w:t>doi:10.1016/j.parkreldis</w:t>
      </w:r>
      <w:proofErr w:type="gramEnd"/>
      <w:r w:rsidRPr="00B850CD">
        <w:t>.2024.107026</w:t>
      </w:r>
    </w:p>
    <w:p w14:paraId="6F84918D" w14:textId="77777777" w:rsidR="00B850CD" w:rsidRPr="00B850CD" w:rsidRDefault="00B850CD" w:rsidP="00B850CD">
      <w:pPr>
        <w:pStyle w:val="Bibliografia"/>
      </w:pPr>
      <w:r w:rsidRPr="00B850CD">
        <w:t>6.</w:t>
      </w:r>
      <w:r w:rsidRPr="00B850CD">
        <w:tab/>
      </w:r>
      <w:proofErr w:type="spellStart"/>
      <w:r w:rsidRPr="00B850CD">
        <w:t>Saarinen</w:t>
      </w:r>
      <w:proofErr w:type="spellEnd"/>
      <w:r w:rsidRPr="00B850CD">
        <w:t xml:space="preserve"> EK, </w:t>
      </w:r>
      <w:proofErr w:type="spellStart"/>
      <w:r w:rsidRPr="00B850CD">
        <w:t>Kuusimäki</w:t>
      </w:r>
      <w:proofErr w:type="spellEnd"/>
      <w:r w:rsidRPr="00B850CD">
        <w:t xml:space="preserve"> T, </w:t>
      </w:r>
      <w:proofErr w:type="spellStart"/>
      <w:r w:rsidRPr="00B850CD">
        <w:t>Lindholm</w:t>
      </w:r>
      <w:proofErr w:type="spellEnd"/>
      <w:r w:rsidRPr="00B850CD">
        <w:t xml:space="preserve"> K, </w:t>
      </w:r>
      <w:proofErr w:type="spellStart"/>
      <w:r w:rsidRPr="00B850CD">
        <w:t>Niemi</w:t>
      </w:r>
      <w:proofErr w:type="spellEnd"/>
      <w:r w:rsidRPr="00B850CD">
        <w:t xml:space="preserve"> K, </w:t>
      </w:r>
      <w:proofErr w:type="spellStart"/>
      <w:r w:rsidRPr="00B850CD">
        <w:t>Honkanen</w:t>
      </w:r>
      <w:proofErr w:type="spellEnd"/>
      <w:r w:rsidRPr="00B850CD">
        <w:t xml:space="preserve"> EA, </w:t>
      </w:r>
      <w:proofErr w:type="spellStart"/>
      <w:r w:rsidRPr="00B850CD">
        <w:t>Noponen</w:t>
      </w:r>
      <w:proofErr w:type="spellEnd"/>
      <w:r w:rsidRPr="00B850CD">
        <w:t xml:space="preserve"> T, </w:t>
      </w:r>
      <w:proofErr w:type="spellStart"/>
      <w:r w:rsidRPr="00B850CD">
        <w:t>et</w:t>
      </w:r>
      <w:proofErr w:type="spellEnd"/>
      <w:r w:rsidRPr="00B850CD">
        <w:t xml:space="preserve"> al. </w:t>
      </w:r>
      <w:proofErr w:type="spellStart"/>
      <w:r w:rsidRPr="00B850CD">
        <w:t>Dietary</w:t>
      </w:r>
      <w:proofErr w:type="spellEnd"/>
      <w:r w:rsidRPr="00B850CD">
        <w:t xml:space="preserve"> </w:t>
      </w:r>
      <w:proofErr w:type="spellStart"/>
      <w:r w:rsidRPr="00B850CD">
        <w:t>Caffeine</w:t>
      </w:r>
      <w:proofErr w:type="spellEnd"/>
      <w:r w:rsidRPr="00B850CD">
        <w:t xml:space="preserve"> </w:t>
      </w:r>
      <w:proofErr w:type="spellStart"/>
      <w:r w:rsidRPr="00B850CD">
        <w:t>and</w:t>
      </w:r>
      <w:proofErr w:type="spellEnd"/>
      <w:r w:rsidRPr="00B850CD">
        <w:t xml:space="preserve"> </w:t>
      </w:r>
      <w:proofErr w:type="spellStart"/>
      <w:r w:rsidRPr="00B850CD">
        <w:t>Brain</w:t>
      </w:r>
      <w:proofErr w:type="spellEnd"/>
      <w:r w:rsidRPr="00B850CD">
        <w:t xml:space="preserve"> </w:t>
      </w:r>
      <w:proofErr w:type="spellStart"/>
      <w:r w:rsidRPr="00B850CD">
        <w:t>Dopaminergic</w:t>
      </w:r>
      <w:proofErr w:type="spellEnd"/>
      <w:r w:rsidRPr="00B850CD">
        <w:t xml:space="preserve"> </w:t>
      </w:r>
      <w:proofErr w:type="spellStart"/>
      <w:r w:rsidRPr="00B850CD">
        <w:t>Function</w:t>
      </w:r>
      <w:proofErr w:type="spellEnd"/>
      <w:r w:rsidRPr="00B850CD">
        <w:t xml:space="preserve"> in Parkinson </w:t>
      </w:r>
      <w:proofErr w:type="spellStart"/>
      <w:r w:rsidRPr="00B850CD">
        <w:t>Disease</w:t>
      </w:r>
      <w:proofErr w:type="spellEnd"/>
      <w:r w:rsidRPr="00B850CD">
        <w:t xml:space="preserve">. </w:t>
      </w:r>
      <w:proofErr w:type="spellStart"/>
      <w:r w:rsidRPr="00B850CD">
        <w:t>Annals</w:t>
      </w:r>
      <w:proofErr w:type="spellEnd"/>
      <w:r w:rsidRPr="00B850CD">
        <w:t xml:space="preserve"> </w:t>
      </w:r>
      <w:proofErr w:type="spellStart"/>
      <w:r w:rsidRPr="00B850CD">
        <w:t>of</w:t>
      </w:r>
      <w:proofErr w:type="spellEnd"/>
      <w:r w:rsidRPr="00B850CD">
        <w:t xml:space="preserve"> </w:t>
      </w:r>
      <w:proofErr w:type="spellStart"/>
      <w:r w:rsidRPr="00B850CD">
        <w:t>Neurology</w:t>
      </w:r>
      <w:proofErr w:type="spellEnd"/>
      <w:r w:rsidRPr="00B850CD">
        <w:t>. agosto de 2024;96(2):262–75. doi:10.1002/ana.26957</w:t>
      </w:r>
    </w:p>
    <w:p w14:paraId="4BD0B579" w14:textId="77777777" w:rsidR="00B850CD" w:rsidRPr="00B850CD" w:rsidRDefault="00B850CD" w:rsidP="00B850CD">
      <w:pPr>
        <w:pStyle w:val="Bibliografia"/>
      </w:pPr>
      <w:r w:rsidRPr="00B850CD">
        <w:t>7.</w:t>
      </w:r>
      <w:r w:rsidRPr="00B850CD">
        <w:tab/>
      </w:r>
      <w:proofErr w:type="spellStart"/>
      <w:r w:rsidRPr="00B850CD">
        <w:t>Reichmann</w:t>
      </w:r>
      <w:proofErr w:type="spellEnd"/>
      <w:r w:rsidRPr="00B850CD">
        <w:t xml:space="preserve"> H, </w:t>
      </w:r>
      <w:proofErr w:type="spellStart"/>
      <w:r w:rsidRPr="00B850CD">
        <w:t>Csoti</w:t>
      </w:r>
      <w:proofErr w:type="spellEnd"/>
      <w:r w:rsidRPr="00B850CD">
        <w:t xml:space="preserve"> I, </w:t>
      </w:r>
      <w:proofErr w:type="spellStart"/>
      <w:r w:rsidRPr="00B850CD">
        <w:t>Koschel</w:t>
      </w:r>
      <w:proofErr w:type="spellEnd"/>
      <w:r w:rsidRPr="00B850CD">
        <w:t xml:space="preserve"> J, </w:t>
      </w:r>
      <w:proofErr w:type="spellStart"/>
      <w:r w:rsidRPr="00B850CD">
        <w:t>Lorenzl</w:t>
      </w:r>
      <w:proofErr w:type="spellEnd"/>
      <w:r w:rsidRPr="00B850CD">
        <w:t xml:space="preserve"> S, </w:t>
      </w:r>
      <w:proofErr w:type="spellStart"/>
      <w:r w:rsidRPr="00B850CD">
        <w:t>Schrader</w:t>
      </w:r>
      <w:proofErr w:type="spellEnd"/>
      <w:r w:rsidRPr="00B850CD">
        <w:t xml:space="preserve"> C, </w:t>
      </w:r>
      <w:proofErr w:type="spellStart"/>
      <w:r w:rsidRPr="00B850CD">
        <w:t>Winkler</w:t>
      </w:r>
      <w:proofErr w:type="spellEnd"/>
      <w:r w:rsidRPr="00B850CD">
        <w:t xml:space="preserve"> J, </w:t>
      </w:r>
      <w:proofErr w:type="spellStart"/>
      <w:r w:rsidRPr="00B850CD">
        <w:t>et</w:t>
      </w:r>
      <w:proofErr w:type="spellEnd"/>
      <w:r w:rsidRPr="00B850CD">
        <w:t xml:space="preserve"> al. </w:t>
      </w:r>
      <w:proofErr w:type="spellStart"/>
      <w:r w:rsidRPr="00B850CD">
        <w:t>Life</w:t>
      </w:r>
      <w:proofErr w:type="spellEnd"/>
      <w:r w:rsidRPr="00B850CD">
        <w:t xml:space="preserve"> </w:t>
      </w:r>
      <w:proofErr w:type="spellStart"/>
      <w:r w:rsidRPr="00B850CD">
        <w:t>style</w:t>
      </w:r>
      <w:proofErr w:type="spellEnd"/>
      <w:r w:rsidRPr="00B850CD">
        <w:t xml:space="preserve"> </w:t>
      </w:r>
      <w:proofErr w:type="spellStart"/>
      <w:r w:rsidRPr="00B850CD">
        <w:t>and</w:t>
      </w:r>
      <w:proofErr w:type="spellEnd"/>
      <w:r w:rsidRPr="00B850CD">
        <w:t xml:space="preserve"> </w:t>
      </w:r>
      <w:proofErr w:type="spellStart"/>
      <w:r w:rsidRPr="00B850CD">
        <w:t>Parkinson’s</w:t>
      </w:r>
      <w:proofErr w:type="spellEnd"/>
      <w:r w:rsidRPr="00B850CD">
        <w:t xml:space="preserve"> </w:t>
      </w:r>
      <w:proofErr w:type="spellStart"/>
      <w:r w:rsidRPr="00B850CD">
        <w:t>disease</w:t>
      </w:r>
      <w:proofErr w:type="spellEnd"/>
      <w:r w:rsidRPr="00B850CD">
        <w:t xml:space="preserve">. J Neural </w:t>
      </w:r>
      <w:proofErr w:type="spellStart"/>
      <w:r w:rsidRPr="00B850CD">
        <w:t>Transm</w:t>
      </w:r>
      <w:proofErr w:type="spellEnd"/>
      <w:r w:rsidRPr="00B850CD">
        <w:t>. setembro de 2022;129(9):1235–45. doi:10.1007/s00702-022-02509-1</w:t>
      </w:r>
    </w:p>
    <w:p w14:paraId="20CEC87D" w14:textId="77777777" w:rsidR="00B850CD" w:rsidRPr="00B850CD" w:rsidRDefault="00B850CD" w:rsidP="00B850CD">
      <w:pPr>
        <w:pStyle w:val="Bibliografia"/>
      </w:pPr>
      <w:r w:rsidRPr="00B850CD">
        <w:t>8.</w:t>
      </w:r>
      <w:r w:rsidRPr="00B850CD">
        <w:tab/>
      </w:r>
      <w:proofErr w:type="spellStart"/>
      <w:r w:rsidRPr="00B850CD">
        <w:t>Ren</w:t>
      </w:r>
      <w:proofErr w:type="spellEnd"/>
      <w:r w:rsidRPr="00B850CD">
        <w:t xml:space="preserve"> X, </w:t>
      </w:r>
      <w:proofErr w:type="spellStart"/>
      <w:r w:rsidRPr="00B850CD">
        <w:t>Chen</w:t>
      </w:r>
      <w:proofErr w:type="spellEnd"/>
      <w:r w:rsidRPr="00B850CD">
        <w:t xml:space="preserve"> JF. </w:t>
      </w:r>
      <w:proofErr w:type="spellStart"/>
      <w:r w:rsidRPr="00B850CD">
        <w:t>Caffeine</w:t>
      </w:r>
      <w:proofErr w:type="spellEnd"/>
      <w:r w:rsidRPr="00B850CD">
        <w:t xml:space="preserve"> </w:t>
      </w:r>
      <w:proofErr w:type="spellStart"/>
      <w:r w:rsidRPr="00B850CD">
        <w:t>and</w:t>
      </w:r>
      <w:proofErr w:type="spellEnd"/>
      <w:r w:rsidRPr="00B850CD">
        <w:t xml:space="preserve"> </w:t>
      </w:r>
      <w:proofErr w:type="spellStart"/>
      <w:r w:rsidRPr="00B850CD">
        <w:t>Parkinson’s</w:t>
      </w:r>
      <w:proofErr w:type="spellEnd"/>
      <w:r w:rsidRPr="00B850CD">
        <w:t xml:space="preserve"> </w:t>
      </w:r>
      <w:proofErr w:type="spellStart"/>
      <w:r w:rsidRPr="00B850CD">
        <w:t>Disease</w:t>
      </w:r>
      <w:proofErr w:type="spellEnd"/>
      <w:r w:rsidRPr="00B850CD">
        <w:t xml:space="preserve">: </w:t>
      </w:r>
      <w:proofErr w:type="spellStart"/>
      <w:r w:rsidRPr="00B850CD">
        <w:t>Multiple</w:t>
      </w:r>
      <w:proofErr w:type="spellEnd"/>
      <w:r w:rsidRPr="00B850CD">
        <w:t xml:space="preserve"> </w:t>
      </w:r>
      <w:proofErr w:type="spellStart"/>
      <w:r w:rsidRPr="00B850CD">
        <w:t>Benefits</w:t>
      </w:r>
      <w:proofErr w:type="spellEnd"/>
      <w:r w:rsidRPr="00B850CD">
        <w:t xml:space="preserve"> </w:t>
      </w:r>
      <w:proofErr w:type="spellStart"/>
      <w:r w:rsidRPr="00B850CD">
        <w:t>and</w:t>
      </w:r>
      <w:proofErr w:type="spellEnd"/>
      <w:r w:rsidRPr="00B850CD">
        <w:t xml:space="preserve"> </w:t>
      </w:r>
      <w:proofErr w:type="spellStart"/>
      <w:r w:rsidRPr="00B850CD">
        <w:t>Emerging</w:t>
      </w:r>
      <w:proofErr w:type="spellEnd"/>
      <w:r w:rsidRPr="00B850CD">
        <w:t xml:space="preserve"> </w:t>
      </w:r>
      <w:proofErr w:type="spellStart"/>
      <w:r w:rsidRPr="00B850CD">
        <w:t>Mechanisms</w:t>
      </w:r>
      <w:proofErr w:type="spellEnd"/>
      <w:r w:rsidRPr="00B850CD">
        <w:t xml:space="preserve">. </w:t>
      </w:r>
      <w:proofErr w:type="spellStart"/>
      <w:r w:rsidRPr="00B850CD">
        <w:t>Front</w:t>
      </w:r>
      <w:proofErr w:type="spellEnd"/>
      <w:r w:rsidRPr="00B850CD">
        <w:t xml:space="preserve"> </w:t>
      </w:r>
      <w:proofErr w:type="spellStart"/>
      <w:r w:rsidRPr="00B850CD">
        <w:t>Neurosci</w:t>
      </w:r>
      <w:proofErr w:type="spellEnd"/>
      <w:r w:rsidRPr="00B850CD">
        <w:t xml:space="preserve">. 17 de dezembro de </w:t>
      </w:r>
      <w:proofErr w:type="gramStart"/>
      <w:r w:rsidRPr="00B850CD">
        <w:t>2020;14:602697</w:t>
      </w:r>
      <w:proofErr w:type="gramEnd"/>
      <w:r w:rsidRPr="00B850CD">
        <w:t>. doi:10.3389/fnins.2020.602697</w:t>
      </w:r>
    </w:p>
    <w:p w14:paraId="37EE1B9B" w14:textId="77777777" w:rsidR="00B850CD" w:rsidRPr="00B850CD" w:rsidRDefault="00B850CD" w:rsidP="00B850CD">
      <w:pPr>
        <w:pStyle w:val="Bibliografia"/>
      </w:pPr>
      <w:r w:rsidRPr="00B850CD">
        <w:t>9.</w:t>
      </w:r>
      <w:r w:rsidRPr="00B850CD">
        <w:tab/>
        <w:t xml:space="preserve">Costa J, </w:t>
      </w:r>
      <w:proofErr w:type="spellStart"/>
      <w:r w:rsidRPr="00B850CD">
        <w:t>Lunet</w:t>
      </w:r>
      <w:proofErr w:type="spellEnd"/>
      <w:r w:rsidRPr="00B850CD">
        <w:t xml:space="preserve"> N, Santos C, Santos J, Vaz-Carneiro A. </w:t>
      </w:r>
      <w:proofErr w:type="spellStart"/>
      <w:r w:rsidRPr="00B850CD">
        <w:t>Caffeine</w:t>
      </w:r>
      <w:proofErr w:type="spellEnd"/>
      <w:r w:rsidRPr="00B850CD">
        <w:t xml:space="preserve"> </w:t>
      </w:r>
      <w:proofErr w:type="spellStart"/>
      <w:r w:rsidRPr="00B850CD">
        <w:t>Exposure</w:t>
      </w:r>
      <w:proofErr w:type="spellEnd"/>
      <w:r w:rsidRPr="00B850CD">
        <w:t xml:space="preserve"> </w:t>
      </w:r>
      <w:proofErr w:type="spellStart"/>
      <w:r w:rsidRPr="00B850CD">
        <w:t>and</w:t>
      </w:r>
      <w:proofErr w:type="spellEnd"/>
      <w:r w:rsidRPr="00B850CD">
        <w:t xml:space="preserve"> </w:t>
      </w:r>
      <w:proofErr w:type="spellStart"/>
      <w:r w:rsidRPr="00B850CD">
        <w:t>the</w:t>
      </w:r>
      <w:proofErr w:type="spellEnd"/>
      <w:r w:rsidRPr="00B850CD">
        <w:t xml:space="preserve"> </w:t>
      </w:r>
      <w:proofErr w:type="spellStart"/>
      <w:r w:rsidRPr="00B850CD">
        <w:t>Risk</w:t>
      </w:r>
      <w:proofErr w:type="spellEnd"/>
      <w:r w:rsidRPr="00B850CD">
        <w:t xml:space="preserve"> </w:t>
      </w:r>
      <w:proofErr w:type="spellStart"/>
      <w:r w:rsidRPr="00B850CD">
        <w:t>of</w:t>
      </w:r>
      <w:proofErr w:type="spellEnd"/>
      <w:r w:rsidRPr="00B850CD">
        <w:t xml:space="preserve"> </w:t>
      </w:r>
      <w:proofErr w:type="spellStart"/>
      <w:r w:rsidRPr="00B850CD">
        <w:t>Parkinson’s</w:t>
      </w:r>
      <w:proofErr w:type="spellEnd"/>
      <w:r w:rsidRPr="00B850CD">
        <w:t xml:space="preserve"> </w:t>
      </w:r>
      <w:proofErr w:type="spellStart"/>
      <w:r w:rsidRPr="00B850CD">
        <w:t>Disease</w:t>
      </w:r>
      <w:proofErr w:type="spellEnd"/>
      <w:r w:rsidRPr="00B850CD">
        <w:t xml:space="preserve">: A </w:t>
      </w:r>
      <w:proofErr w:type="spellStart"/>
      <w:r w:rsidRPr="00B850CD">
        <w:t>Systematic</w:t>
      </w:r>
      <w:proofErr w:type="spellEnd"/>
      <w:r w:rsidRPr="00B850CD">
        <w:t xml:space="preserve"> </w:t>
      </w:r>
      <w:proofErr w:type="spellStart"/>
      <w:r w:rsidRPr="00B850CD">
        <w:t>Review</w:t>
      </w:r>
      <w:proofErr w:type="spellEnd"/>
      <w:r w:rsidRPr="00B850CD">
        <w:t xml:space="preserve"> </w:t>
      </w:r>
      <w:proofErr w:type="spellStart"/>
      <w:r w:rsidRPr="00B850CD">
        <w:t>and</w:t>
      </w:r>
      <w:proofErr w:type="spellEnd"/>
      <w:r w:rsidRPr="00B850CD">
        <w:t xml:space="preserve"> Meta-</w:t>
      </w:r>
      <w:proofErr w:type="spellStart"/>
      <w:r w:rsidRPr="00B850CD">
        <w:t>Analysis</w:t>
      </w:r>
      <w:proofErr w:type="spellEnd"/>
      <w:r w:rsidRPr="00B850CD">
        <w:t xml:space="preserve"> </w:t>
      </w:r>
      <w:proofErr w:type="spellStart"/>
      <w:r w:rsidRPr="00B850CD">
        <w:t>of</w:t>
      </w:r>
      <w:proofErr w:type="spellEnd"/>
      <w:r w:rsidRPr="00B850CD">
        <w:t xml:space="preserve"> </w:t>
      </w:r>
      <w:proofErr w:type="spellStart"/>
      <w:r w:rsidRPr="00B850CD">
        <w:t>Observational</w:t>
      </w:r>
      <w:proofErr w:type="spellEnd"/>
      <w:r w:rsidRPr="00B850CD">
        <w:t xml:space="preserve"> </w:t>
      </w:r>
      <w:proofErr w:type="spellStart"/>
      <w:r w:rsidRPr="00B850CD">
        <w:t>Studiess</w:t>
      </w:r>
      <w:proofErr w:type="spellEnd"/>
      <w:r w:rsidRPr="00B850CD">
        <w:t>. Cunha RA, De Mendonça A, editores. JAD. 14 de abril de 2010;20(s1</w:t>
      </w:r>
      <w:proofErr w:type="gramStart"/>
      <w:r w:rsidRPr="00B850CD">
        <w:t>):S</w:t>
      </w:r>
      <w:proofErr w:type="gramEnd"/>
      <w:r w:rsidRPr="00B850CD">
        <w:t>221–38. doi:10.3233/JAD-2010-091525</w:t>
      </w:r>
    </w:p>
    <w:p w14:paraId="44A5EBFD" w14:textId="77777777" w:rsidR="00B850CD" w:rsidRPr="00B850CD" w:rsidRDefault="00B850CD" w:rsidP="00B850CD">
      <w:pPr>
        <w:pStyle w:val="Bibliografia"/>
      </w:pPr>
      <w:r w:rsidRPr="00B850CD">
        <w:t>10.</w:t>
      </w:r>
      <w:r w:rsidRPr="00B850CD">
        <w:tab/>
      </w:r>
      <w:proofErr w:type="spellStart"/>
      <w:r w:rsidRPr="00B850CD">
        <w:t>Postuma</w:t>
      </w:r>
      <w:proofErr w:type="spellEnd"/>
      <w:r w:rsidRPr="00B850CD">
        <w:t xml:space="preserve"> RB, </w:t>
      </w:r>
      <w:proofErr w:type="spellStart"/>
      <w:r w:rsidRPr="00B850CD">
        <w:t>Anang</w:t>
      </w:r>
      <w:proofErr w:type="spellEnd"/>
      <w:r w:rsidRPr="00B850CD">
        <w:t xml:space="preserve"> J, </w:t>
      </w:r>
      <w:proofErr w:type="spellStart"/>
      <w:r w:rsidRPr="00B850CD">
        <w:t>Pelletier</w:t>
      </w:r>
      <w:proofErr w:type="spellEnd"/>
      <w:r w:rsidRPr="00B850CD">
        <w:t xml:space="preserve"> A, Joseph L, </w:t>
      </w:r>
      <w:proofErr w:type="spellStart"/>
      <w:r w:rsidRPr="00B850CD">
        <w:t>Moscovich</w:t>
      </w:r>
      <w:proofErr w:type="spellEnd"/>
      <w:r w:rsidRPr="00B850CD">
        <w:t xml:space="preserve"> M, Grimes D, </w:t>
      </w:r>
      <w:proofErr w:type="spellStart"/>
      <w:r w:rsidRPr="00B850CD">
        <w:t>et</w:t>
      </w:r>
      <w:proofErr w:type="spellEnd"/>
      <w:r w:rsidRPr="00B850CD">
        <w:t xml:space="preserve"> al. </w:t>
      </w:r>
      <w:proofErr w:type="spellStart"/>
      <w:r w:rsidRPr="00B850CD">
        <w:t>Caffeine</w:t>
      </w:r>
      <w:proofErr w:type="spellEnd"/>
      <w:r w:rsidRPr="00B850CD">
        <w:t xml:space="preserve"> as </w:t>
      </w:r>
      <w:proofErr w:type="spellStart"/>
      <w:r w:rsidRPr="00B850CD">
        <w:t>symptomatic</w:t>
      </w:r>
      <w:proofErr w:type="spellEnd"/>
      <w:r w:rsidRPr="00B850CD">
        <w:t xml:space="preserve"> </w:t>
      </w:r>
      <w:proofErr w:type="spellStart"/>
      <w:r w:rsidRPr="00B850CD">
        <w:t>treatment</w:t>
      </w:r>
      <w:proofErr w:type="spellEnd"/>
      <w:r w:rsidRPr="00B850CD">
        <w:t xml:space="preserve"> for Parkinson </w:t>
      </w:r>
      <w:proofErr w:type="spellStart"/>
      <w:r w:rsidRPr="00B850CD">
        <w:t>disease</w:t>
      </w:r>
      <w:proofErr w:type="spellEnd"/>
      <w:r w:rsidRPr="00B850CD">
        <w:t xml:space="preserve"> (Café-PD): A </w:t>
      </w:r>
      <w:proofErr w:type="spellStart"/>
      <w:r w:rsidRPr="00B850CD">
        <w:t>randomized</w:t>
      </w:r>
      <w:proofErr w:type="spellEnd"/>
      <w:r w:rsidRPr="00B850CD">
        <w:t xml:space="preserve"> trial. </w:t>
      </w:r>
      <w:proofErr w:type="spellStart"/>
      <w:r w:rsidRPr="00B850CD">
        <w:t>Neurology</w:t>
      </w:r>
      <w:proofErr w:type="spellEnd"/>
      <w:r w:rsidRPr="00B850CD">
        <w:t>. 24 de outubro de 2017;89(17):1795–803. doi:10.1212/WNL.0000000000004568</w:t>
      </w:r>
    </w:p>
    <w:p w14:paraId="2C5B2B38" w14:textId="77777777" w:rsidR="00B850CD" w:rsidRPr="00B850CD" w:rsidRDefault="00B850CD" w:rsidP="00B850CD">
      <w:pPr>
        <w:pStyle w:val="Bibliografia"/>
      </w:pPr>
      <w:r w:rsidRPr="00B850CD">
        <w:t>11.</w:t>
      </w:r>
      <w:r w:rsidRPr="00B850CD">
        <w:tab/>
        <w:t xml:space="preserve">Instituto Nacional de Estatística, editor. Resultados definitivos: Portugal. Lisboa; 2022. 5, 20–21 p. (Censos; </w:t>
      </w:r>
      <w:proofErr w:type="spellStart"/>
      <w:r w:rsidRPr="00B850CD">
        <w:t>n.</w:t>
      </w:r>
      <w:r w:rsidRPr="00B850CD">
        <w:rPr>
          <w:vertAlign w:val="superscript"/>
        </w:rPr>
        <w:t>o</w:t>
      </w:r>
      <w:proofErr w:type="spellEnd"/>
      <w:r w:rsidRPr="00B850CD">
        <w:t xml:space="preserve"> </w:t>
      </w:r>
      <w:proofErr w:type="gramStart"/>
      <w:r w:rsidRPr="00B850CD">
        <w:t>2021,def</w:t>
      </w:r>
      <w:proofErr w:type="gramEnd"/>
      <w:r w:rsidRPr="00B850CD">
        <w:t>).</w:t>
      </w:r>
    </w:p>
    <w:p w14:paraId="4095C2CF" w14:textId="77777777" w:rsidR="00B850CD" w:rsidRPr="00B850CD" w:rsidRDefault="00B850CD" w:rsidP="00B850CD">
      <w:pPr>
        <w:pStyle w:val="Bibliografia"/>
      </w:pPr>
      <w:r w:rsidRPr="00B850CD">
        <w:t>12.</w:t>
      </w:r>
      <w:r w:rsidRPr="00B850CD">
        <w:tab/>
        <w:t xml:space="preserve">Ferreira JJ, Gonçalves N, Valadas A, Januário C, Silva MR, Nogueira L, </w:t>
      </w:r>
      <w:proofErr w:type="spellStart"/>
      <w:r w:rsidRPr="00B850CD">
        <w:t>et</w:t>
      </w:r>
      <w:proofErr w:type="spellEnd"/>
      <w:r w:rsidRPr="00B850CD">
        <w:t xml:space="preserve"> al. </w:t>
      </w:r>
      <w:proofErr w:type="spellStart"/>
      <w:r w:rsidRPr="00B850CD">
        <w:t>Prevalence</w:t>
      </w:r>
      <w:proofErr w:type="spellEnd"/>
      <w:r w:rsidRPr="00B850CD">
        <w:t xml:space="preserve"> </w:t>
      </w:r>
      <w:proofErr w:type="spellStart"/>
      <w:r w:rsidRPr="00B850CD">
        <w:t>of</w:t>
      </w:r>
      <w:proofErr w:type="spellEnd"/>
      <w:r w:rsidRPr="00B850CD">
        <w:t xml:space="preserve"> </w:t>
      </w:r>
      <w:proofErr w:type="spellStart"/>
      <w:r w:rsidRPr="00B850CD">
        <w:t>Parkinson’s</w:t>
      </w:r>
      <w:proofErr w:type="spellEnd"/>
      <w:r w:rsidRPr="00B850CD">
        <w:t xml:space="preserve"> </w:t>
      </w:r>
      <w:proofErr w:type="spellStart"/>
      <w:r w:rsidRPr="00B850CD">
        <w:t>disease</w:t>
      </w:r>
      <w:proofErr w:type="spellEnd"/>
      <w:r w:rsidRPr="00B850CD">
        <w:t xml:space="preserve">: a </w:t>
      </w:r>
      <w:proofErr w:type="spellStart"/>
      <w:r w:rsidRPr="00B850CD">
        <w:t>population</w:t>
      </w:r>
      <w:r w:rsidRPr="00B850CD">
        <w:rPr>
          <w:rFonts w:ascii="Cambria Math" w:hAnsi="Cambria Math" w:cs="Cambria Math"/>
        </w:rPr>
        <w:t>‐</w:t>
      </w:r>
      <w:r w:rsidRPr="00B850CD">
        <w:t>based</w:t>
      </w:r>
      <w:proofErr w:type="spellEnd"/>
      <w:r w:rsidRPr="00B850CD">
        <w:t xml:space="preserve"> </w:t>
      </w:r>
      <w:proofErr w:type="spellStart"/>
      <w:r w:rsidRPr="00B850CD">
        <w:t>study</w:t>
      </w:r>
      <w:proofErr w:type="spellEnd"/>
      <w:r w:rsidRPr="00B850CD">
        <w:t xml:space="preserve"> in Portugal. Euro J </w:t>
      </w:r>
      <w:proofErr w:type="spellStart"/>
      <w:r w:rsidRPr="00B850CD">
        <w:t>of</w:t>
      </w:r>
      <w:proofErr w:type="spellEnd"/>
      <w:r w:rsidRPr="00B850CD">
        <w:t xml:space="preserve"> </w:t>
      </w:r>
      <w:proofErr w:type="spellStart"/>
      <w:r w:rsidRPr="00B850CD">
        <w:t>Neurology</w:t>
      </w:r>
      <w:proofErr w:type="spellEnd"/>
      <w:r w:rsidRPr="00B850CD">
        <w:t>. maio de 2017;24(5):748–50. doi:10.1111/ene.13273</w:t>
      </w:r>
    </w:p>
    <w:p w14:paraId="4C5F5345" w14:textId="77777777" w:rsidR="00B850CD" w:rsidRPr="00B850CD" w:rsidRDefault="00B850CD" w:rsidP="00B850CD">
      <w:pPr>
        <w:pStyle w:val="Bibliografia"/>
      </w:pPr>
      <w:r w:rsidRPr="00B850CD">
        <w:t>13.</w:t>
      </w:r>
      <w:r w:rsidRPr="00B850CD">
        <w:tab/>
      </w:r>
      <w:proofErr w:type="spellStart"/>
      <w:r w:rsidRPr="00B850CD">
        <w:t>Dupont</w:t>
      </w:r>
      <w:proofErr w:type="spellEnd"/>
      <w:r w:rsidRPr="00B850CD">
        <w:t xml:space="preserve"> WD. </w:t>
      </w:r>
      <w:proofErr w:type="spellStart"/>
      <w:r w:rsidRPr="00B850CD">
        <w:t>Power</w:t>
      </w:r>
      <w:proofErr w:type="spellEnd"/>
      <w:r w:rsidRPr="00B850CD">
        <w:t xml:space="preserve"> </w:t>
      </w:r>
      <w:proofErr w:type="spellStart"/>
      <w:r w:rsidRPr="00B850CD">
        <w:t>calculations</w:t>
      </w:r>
      <w:proofErr w:type="spellEnd"/>
      <w:r w:rsidRPr="00B850CD">
        <w:t xml:space="preserve"> for </w:t>
      </w:r>
      <w:proofErr w:type="spellStart"/>
      <w:r w:rsidRPr="00B850CD">
        <w:t>matched</w:t>
      </w:r>
      <w:proofErr w:type="spellEnd"/>
      <w:r w:rsidRPr="00B850CD">
        <w:t xml:space="preserve"> case-</w:t>
      </w:r>
      <w:proofErr w:type="spellStart"/>
      <w:r w:rsidRPr="00B850CD">
        <w:t>control</w:t>
      </w:r>
      <w:proofErr w:type="spellEnd"/>
      <w:r w:rsidRPr="00B850CD">
        <w:t xml:space="preserve"> </w:t>
      </w:r>
      <w:proofErr w:type="spellStart"/>
      <w:r w:rsidRPr="00B850CD">
        <w:t>studies</w:t>
      </w:r>
      <w:proofErr w:type="spellEnd"/>
      <w:r w:rsidRPr="00B850CD">
        <w:t xml:space="preserve">. </w:t>
      </w:r>
      <w:proofErr w:type="spellStart"/>
      <w:r w:rsidRPr="00B850CD">
        <w:t>Biometrics</w:t>
      </w:r>
      <w:proofErr w:type="spellEnd"/>
      <w:r w:rsidRPr="00B850CD">
        <w:t>. 1988;44(4):1157–68. doi:10.2307/2531743</w:t>
      </w:r>
    </w:p>
    <w:p w14:paraId="000A5044" w14:textId="77777777" w:rsidR="00B850CD" w:rsidRPr="00B850CD" w:rsidRDefault="00B850CD" w:rsidP="00B850CD">
      <w:pPr>
        <w:pStyle w:val="Bibliografia"/>
      </w:pPr>
      <w:r w:rsidRPr="00B850CD">
        <w:lastRenderedPageBreak/>
        <w:t>14.</w:t>
      </w:r>
      <w:r w:rsidRPr="00B850CD">
        <w:tab/>
        <w:t xml:space="preserve">Lopes C, Torres D, Oliveira A, Severo M, Alarcão V, Guiomar S, </w:t>
      </w:r>
      <w:proofErr w:type="spellStart"/>
      <w:r w:rsidRPr="00B850CD">
        <w:t>et</w:t>
      </w:r>
      <w:proofErr w:type="spellEnd"/>
      <w:r w:rsidRPr="00B850CD">
        <w:t xml:space="preserve"> al. Inquérito Alimentar Nacional e de Atividade Física, IAN-AF 2015-2016: Relatório de resultados [Internet]. Porto; 2017. p. 41–2. Disponível em: https://ian-af.up.pt/sites/default/files/IAN-AF%20Relat%C3%B3rio%20Resultados_0.pdf</w:t>
      </w:r>
    </w:p>
    <w:p w14:paraId="26B5FE25" w14:textId="77777777" w:rsidR="00B850CD" w:rsidRPr="00B850CD" w:rsidRDefault="00B850CD" w:rsidP="00B850CD">
      <w:pPr>
        <w:pStyle w:val="Bibliografia"/>
      </w:pPr>
      <w:r w:rsidRPr="00B850CD">
        <w:t>15.</w:t>
      </w:r>
      <w:r w:rsidRPr="00B850CD">
        <w:tab/>
        <w:t xml:space="preserve">Ludwig IA, Mena P, </w:t>
      </w:r>
      <w:proofErr w:type="spellStart"/>
      <w:r w:rsidRPr="00B850CD">
        <w:t>Calani</w:t>
      </w:r>
      <w:proofErr w:type="spellEnd"/>
      <w:r w:rsidRPr="00B850CD">
        <w:t xml:space="preserve"> L, Cid C, </w:t>
      </w:r>
      <w:proofErr w:type="spellStart"/>
      <w:r w:rsidRPr="00B850CD">
        <w:t>Del</w:t>
      </w:r>
      <w:proofErr w:type="spellEnd"/>
      <w:r w:rsidRPr="00B850CD">
        <w:t xml:space="preserve"> Rio D, </w:t>
      </w:r>
      <w:proofErr w:type="spellStart"/>
      <w:r w:rsidRPr="00B850CD">
        <w:t>Lean</w:t>
      </w:r>
      <w:proofErr w:type="spellEnd"/>
      <w:r w:rsidRPr="00B850CD">
        <w:t xml:space="preserve"> MEJ, </w:t>
      </w:r>
      <w:proofErr w:type="spellStart"/>
      <w:r w:rsidRPr="00B850CD">
        <w:t>et</w:t>
      </w:r>
      <w:proofErr w:type="spellEnd"/>
      <w:r w:rsidRPr="00B850CD">
        <w:t xml:space="preserve"> al. </w:t>
      </w:r>
      <w:proofErr w:type="spellStart"/>
      <w:r w:rsidRPr="00B850CD">
        <w:t>Variations</w:t>
      </w:r>
      <w:proofErr w:type="spellEnd"/>
      <w:r w:rsidRPr="00B850CD">
        <w:t xml:space="preserve"> in </w:t>
      </w:r>
      <w:proofErr w:type="spellStart"/>
      <w:r w:rsidRPr="00B850CD">
        <w:t>caffeine</w:t>
      </w:r>
      <w:proofErr w:type="spellEnd"/>
      <w:r w:rsidRPr="00B850CD">
        <w:t xml:space="preserve"> </w:t>
      </w:r>
      <w:proofErr w:type="spellStart"/>
      <w:r w:rsidRPr="00B850CD">
        <w:t>and</w:t>
      </w:r>
      <w:proofErr w:type="spellEnd"/>
      <w:r w:rsidRPr="00B850CD">
        <w:t xml:space="preserve"> </w:t>
      </w:r>
      <w:proofErr w:type="spellStart"/>
      <w:r w:rsidRPr="00B850CD">
        <w:t>chlorogenic</w:t>
      </w:r>
      <w:proofErr w:type="spellEnd"/>
      <w:r w:rsidRPr="00B850CD">
        <w:t xml:space="preserve"> </w:t>
      </w:r>
      <w:proofErr w:type="spellStart"/>
      <w:r w:rsidRPr="00B850CD">
        <w:t>acid</w:t>
      </w:r>
      <w:proofErr w:type="spellEnd"/>
      <w:r w:rsidRPr="00B850CD">
        <w:t xml:space="preserve"> </w:t>
      </w:r>
      <w:proofErr w:type="spellStart"/>
      <w:r w:rsidRPr="00B850CD">
        <w:t>contents</w:t>
      </w:r>
      <w:proofErr w:type="spellEnd"/>
      <w:r w:rsidRPr="00B850CD">
        <w:t xml:space="preserve"> </w:t>
      </w:r>
      <w:proofErr w:type="spellStart"/>
      <w:r w:rsidRPr="00B850CD">
        <w:t>of</w:t>
      </w:r>
      <w:proofErr w:type="spellEnd"/>
      <w:r w:rsidRPr="00B850CD">
        <w:t xml:space="preserve"> </w:t>
      </w:r>
      <w:proofErr w:type="spellStart"/>
      <w:r w:rsidRPr="00B850CD">
        <w:t>coffees</w:t>
      </w:r>
      <w:proofErr w:type="spellEnd"/>
      <w:r w:rsidRPr="00B850CD">
        <w:t xml:space="preserve">: </w:t>
      </w:r>
      <w:proofErr w:type="spellStart"/>
      <w:r w:rsidRPr="00B850CD">
        <w:t>what</w:t>
      </w:r>
      <w:proofErr w:type="spellEnd"/>
      <w:r w:rsidRPr="00B850CD">
        <w:t xml:space="preserve"> are </w:t>
      </w:r>
      <w:proofErr w:type="spellStart"/>
      <w:r w:rsidRPr="00B850CD">
        <w:t>we</w:t>
      </w:r>
      <w:proofErr w:type="spellEnd"/>
      <w:r w:rsidRPr="00B850CD">
        <w:t xml:space="preserve"> </w:t>
      </w:r>
      <w:proofErr w:type="spellStart"/>
      <w:r w:rsidRPr="00B850CD">
        <w:t>drinking</w:t>
      </w:r>
      <w:proofErr w:type="spellEnd"/>
      <w:r w:rsidRPr="00B850CD">
        <w:t xml:space="preserve">? Food </w:t>
      </w:r>
      <w:proofErr w:type="spellStart"/>
      <w:r w:rsidRPr="00B850CD">
        <w:t>Funct</w:t>
      </w:r>
      <w:proofErr w:type="spellEnd"/>
      <w:r w:rsidRPr="00B850CD">
        <w:t>. 2014;5(8):1718–26. doi:10.1039/C4FO00290C</w:t>
      </w:r>
    </w:p>
    <w:p w14:paraId="2EE3A92F" w14:textId="77777777" w:rsidR="00B850CD" w:rsidRPr="00B850CD" w:rsidRDefault="00B850CD" w:rsidP="00B850CD">
      <w:pPr>
        <w:pStyle w:val="Bibliografia"/>
      </w:pPr>
      <w:r w:rsidRPr="00B850CD">
        <w:t>16.</w:t>
      </w:r>
      <w:r w:rsidRPr="00B850CD">
        <w:tab/>
      </w:r>
      <w:proofErr w:type="spellStart"/>
      <w:r w:rsidRPr="00B850CD">
        <w:t>Crozier</w:t>
      </w:r>
      <w:proofErr w:type="spellEnd"/>
      <w:r w:rsidRPr="00B850CD">
        <w:t xml:space="preserve"> TWM, </w:t>
      </w:r>
      <w:proofErr w:type="spellStart"/>
      <w:r w:rsidRPr="00B850CD">
        <w:t>Stalmach</w:t>
      </w:r>
      <w:proofErr w:type="spellEnd"/>
      <w:r w:rsidRPr="00B850CD">
        <w:t xml:space="preserve"> A, </w:t>
      </w:r>
      <w:proofErr w:type="spellStart"/>
      <w:r w:rsidRPr="00B850CD">
        <w:t>Lean</w:t>
      </w:r>
      <w:proofErr w:type="spellEnd"/>
      <w:r w:rsidRPr="00B850CD">
        <w:t xml:space="preserve"> MEJ, </w:t>
      </w:r>
      <w:proofErr w:type="spellStart"/>
      <w:r w:rsidRPr="00B850CD">
        <w:t>Crozier</w:t>
      </w:r>
      <w:proofErr w:type="spellEnd"/>
      <w:r w:rsidRPr="00B850CD">
        <w:t xml:space="preserve"> A. </w:t>
      </w:r>
      <w:proofErr w:type="spellStart"/>
      <w:r w:rsidRPr="00B850CD">
        <w:t>Espresso</w:t>
      </w:r>
      <w:proofErr w:type="spellEnd"/>
      <w:r w:rsidRPr="00B850CD">
        <w:t xml:space="preserve"> </w:t>
      </w:r>
      <w:proofErr w:type="spellStart"/>
      <w:r w:rsidRPr="00B850CD">
        <w:t>coffees</w:t>
      </w:r>
      <w:proofErr w:type="spellEnd"/>
      <w:r w:rsidRPr="00B850CD">
        <w:t xml:space="preserve">, </w:t>
      </w:r>
      <w:proofErr w:type="spellStart"/>
      <w:r w:rsidRPr="00B850CD">
        <w:t>caffeine</w:t>
      </w:r>
      <w:proofErr w:type="spellEnd"/>
      <w:r w:rsidRPr="00B850CD">
        <w:t xml:space="preserve"> </w:t>
      </w:r>
      <w:proofErr w:type="spellStart"/>
      <w:r w:rsidRPr="00B850CD">
        <w:t>and</w:t>
      </w:r>
      <w:proofErr w:type="spellEnd"/>
      <w:r w:rsidRPr="00B850CD">
        <w:t xml:space="preserve"> </w:t>
      </w:r>
      <w:proofErr w:type="spellStart"/>
      <w:r w:rsidRPr="00B850CD">
        <w:t>chlorogenic</w:t>
      </w:r>
      <w:proofErr w:type="spellEnd"/>
      <w:r w:rsidRPr="00B850CD">
        <w:t xml:space="preserve"> </w:t>
      </w:r>
      <w:proofErr w:type="spellStart"/>
      <w:r w:rsidRPr="00B850CD">
        <w:t>acid</w:t>
      </w:r>
      <w:proofErr w:type="spellEnd"/>
      <w:r w:rsidRPr="00B850CD">
        <w:t xml:space="preserve"> </w:t>
      </w:r>
      <w:proofErr w:type="spellStart"/>
      <w:r w:rsidRPr="00B850CD">
        <w:t>intake</w:t>
      </w:r>
      <w:proofErr w:type="spellEnd"/>
      <w:r w:rsidRPr="00B850CD">
        <w:t xml:space="preserve">: </w:t>
      </w:r>
      <w:proofErr w:type="spellStart"/>
      <w:r w:rsidRPr="00B850CD">
        <w:t>potential</w:t>
      </w:r>
      <w:proofErr w:type="spellEnd"/>
      <w:r w:rsidRPr="00B850CD">
        <w:t xml:space="preserve"> </w:t>
      </w:r>
      <w:proofErr w:type="spellStart"/>
      <w:r w:rsidRPr="00B850CD">
        <w:t>health</w:t>
      </w:r>
      <w:proofErr w:type="spellEnd"/>
      <w:r w:rsidRPr="00B850CD">
        <w:t xml:space="preserve"> </w:t>
      </w:r>
      <w:proofErr w:type="spellStart"/>
      <w:r w:rsidRPr="00B850CD">
        <w:t>implications</w:t>
      </w:r>
      <w:proofErr w:type="spellEnd"/>
      <w:r w:rsidRPr="00B850CD">
        <w:t xml:space="preserve">. Food </w:t>
      </w:r>
      <w:proofErr w:type="spellStart"/>
      <w:r w:rsidRPr="00B850CD">
        <w:t>Funct</w:t>
      </w:r>
      <w:proofErr w:type="spellEnd"/>
      <w:r w:rsidRPr="00B850CD">
        <w:t>. 2012;3(1):30–3. doi:10.1039/C1FO10240K</w:t>
      </w:r>
    </w:p>
    <w:p w14:paraId="6EDE4C15" w14:textId="77777777" w:rsidR="00B850CD" w:rsidRPr="00B850CD" w:rsidRDefault="00B850CD" w:rsidP="00B850CD">
      <w:pPr>
        <w:pStyle w:val="Bibliografia"/>
      </w:pPr>
      <w:r w:rsidRPr="00B850CD">
        <w:t>17.</w:t>
      </w:r>
      <w:r w:rsidRPr="00B850CD">
        <w:tab/>
      </w:r>
      <w:proofErr w:type="spellStart"/>
      <w:r w:rsidRPr="00B850CD">
        <w:t>Heckman</w:t>
      </w:r>
      <w:proofErr w:type="spellEnd"/>
      <w:r w:rsidRPr="00B850CD">
        <w:t xml:space="preserve"> MA, Weil J, De </w:t>
      </w:r>
      <w:proofErr w:type="spellStart"/>
      <w:r w:rsidRPr="00B850CD">
        <w:t>Mejia</w:t>
      </w:r>
      <w:proofErr w:type="spellEnd"/>
      <w:r w:rsidRPr="00B850CD">
        <w:t xml:space="preserve"> EG. </w:t>
      </w:r>
      <w:proofErr w:type="spellStart"/>
      <w:r w:rsidRPr="00B850CD">
        <w:t>Caffeine</w:t>
      </w:r>
      <w:proofErr w:type="spellEnd"/>
      <w:r w:rsidRPr="00B850CD">
        <w:t xml:space="preserve"> (1, 3, 7</w:t>
      </w:r>
      <w:r w:rsidRPr="00B850CD">
        <w:rPr>
          <w:rFonts w:ascii="Cambria Math" w:hAnsi="Cambria Math" w:cs="Cambria Math"/>
        </w:rPr>
        <w:t>‐</w:t>
      </w:r>
      <w:r w:rsidRPr="00B850CD">
        <w:t xml:space="preserve">trimethylxanthine) in Foods: A </w:t>
      </w:r>
      <w:proofErr w:type="spellStart"/>
      <w:r w:rsidRPr="00B850CD">
        <w:t>Comprehensive</w:t>
      </w:r>
      <w:proofErr w:type="spellEnd"/>
      <w:r w:rsidRPr="00B850CD">
        <w:t xml:space="preserve"> </w:t>
      </w:r>
      <w:proofErr w:type="spellStart"/>
      <w:r w:rsidRPr="00B850CD">
        <w:t>Review</w:t>
      </w:r>
      <w:proofErr w:type="spellEnd"/>
      <w:r w:rsidRPr="00B850CD">
        <w:t xml:space="preserve"> </w:t>
      </w:r>
      <w:proofErr w:type="spellStart"/>
      <w:r w:rsidRPr="00B850CD">
        <w:t>on</w:t>
      </w:r>
      <w:proofErr w:type="spellEnd"/>
      <w:r w:rsidRPr="00B850CD">
        <w:t xml:space="preserve"> </w:t>
      </w:r>
      <w:proofErr w:type="spellStart"/>
      <w:r w:rsidRPr="00B850CD">
        <w:t>Consumption</w:t>
      </w:r>
      <w:proofErr w:type="spellEnd"/>
      <w:r w:rsidRPr="00B850CD">
        <w:t xml:space="preserve">, </w:t>
      </w:r>
      <w:proofErr w:type="spellStart"/>
      <w:r w:rsidRPr="00B850CD">
        <w:t>Functionality</w:t>
      </w:r>
      <w:proofErr w:type="spellEnd"/>
      <w:r w:rsidRPr="00B850CD">
        <w:t xml:space="preserve">, </w:t>
      </w:r>
      <w:proofErr w:type="spellStart"/>
      <w:r w:rsidRPr="00B850CD">
        <w:t>Safety</w:t>
      </w:r>
      <w:proofErr w:type="spellEnd"/>
      <w:r w:rsidRPr="00B850CD">
        <w:t xml:space="preserve">, </w:t>
      </w:r>
      <w:proofErr w:type="spellStart"/>
      <w:r w:rsidRPr="00B850CD">
        <w:t>and</w:t>
      </w:r>
      <w:proofErr w:type="spellEnd"/>
      <w:r w:rsidRPr="00B850CD">
        <w:t xml:space="preserve"> </w:t>
      </w:r>
      <w:proofErr w:type="spellStart"/>
      <w:r w:rsidRPr="00B850CD">
        <w:t>Regulatory</w:t>
      </w:r>
      <w:proofErr w:type="spellEnd"/>
      <w:r w:rsidRPr="00B850CD">
        <w:t xml:space="preserve"> </w:t>
      </w:r>
      <w:proofErr w:type="spellStart"/>
      <w:r w:rsidRPr="00B850CD">
        <w:t>Matters</w:t>
      </w:r>
      <w:proofErr w:type="spellEnd"/>
      <w:r w:rsidRPr="00B850CD">
        <w:t xml:space="preserve">. </w:t>
      </w:r>
      <w:proofErr w:type="spellStart"/>
      <w:r w:rsidRPr="00B850CD">
        <w:t>Journal</w:t>
      </w:r>
      <w:proofErr w:type="spellEnd"/>
      <w:r w:rsidRPr="00B850CD">
        <w:t xml:space="preserve"> </w:t>
      </w:r>
      <w:proofErr w:type="spellStart"/>
      <w:r w:rsidRPr="00B850CD">
        <w:t>of</w:t>
      </w:r>
      <w:proofErr w:type="spellEnd"/>
      <w:r w:rsidRPr="00B850CD">
        <w:t xml:space="preserve"> Food </w:t>
      </w:r>
      <w:proofErr w:type="spellStart"/>
      <w:r w:rsidRPr="00B850CD">
        <w:t>Science</w:t>
      </w:r>
      <w:proofErr w:type="spellEnd"/>
      <w:r w:rsidRPr="00B850CD">
        <w:t>. abril de 2010;75(3). doi:10.1111/j.1750-3841.</w:t>
      </w:r>
      <w:proofErr w:type="gramStart"/>
      <w:r w:rsidRPr="00B850CD">
        <w:t>2010.01561.x</w:t>
      </w:r>
      <w:proofErr w:type="gramEnd"/>
    </w:p>
    <w:p w14:paraId="6119C3ED" w14:textId="77777777" w:rsidR="00B850CD" w:rsidRPr="00B850CD" w:rsidRDefault="00B850CD" w:rsidP="00B850CD">
      <w:pPr>
        <w:pStyle w:val="Bibliografia"/>
      </w:pPr>
      <w:r w:rsidRPr="00B850CD">
        <w:t>18.</w:t>
      </w:r>
      <w:r w:rsidRPr="00B850CD">
        <w:tab/>
        <w:t>Parlamento Europeu e Conselho da União Europeia. REGULAMENTO (</w:t>
      </w:r>
      <w:proofErr w:type="gramStart"/>
      <w:r w:rsidRPr="00B850CD">
        <w:t>UE)  2016/  679</w:t>
      </w:r>
      <w:proofErr w:type="gramEnd"/>
      <w:r w:rsidRPr="00B850CD">
        <w:t xml:space="preserve">  </w:t>
      </w:r>
      <w:proofErr w:type="gramStart"/>
      <w:r w:rsidRPr="00B850CD">
        <w:t>DO  PARLAMENTO</w:t>
      </w:r>
      <w:proofErr w:type="gramEnd"/>
      <w:r w:rsidRPr="00B850CD">
        <w:t xml:space="preserve">  </w:t>
      </w:r>
      <w:proofErr w:type="gramStart"/>
      <w:r w:rsidRPr="00B850CD">
        <w:t>EUROPEU  E</w:t>
      </w:r>
      <w:proofErr w:type="gramEnd"/>
      <w:r w:rsidRPr="00B850CD">
        <w:t xml:space="preserve">  </w:t>
      </w:r>
      <w:proofErr w:type="gramStart"/>
      <w:r w:rsidRPr="00B850CD">
        <w:t>DO  CONSELHO</w:t>
      </w:r>
      <w:proofErr w:type="gramEnd"/>
      <w:r w:rsidRPr="00B850CD">
        <w:t xml:space="preserve">  </w:t>
      </w:r>
      <w:proofErr w:type="gramStart"/>
      <w:r w:rsidRPr="00B850CD">
        <w:t>-  de</w:t>
      </w:r>
      <w:proofErr w:type="gramEnd"/>
      <w:r w:rsidRPr="00B850CD">
        <w:t xml:space="preserve">  </w:t>
      </w:r>
      <w:proofErr w:type="gramStart"/>
      <w:r w:rsidRPr="00B850CD">
        <w:t>27  de</w:t>
      </w:r>
      <w:proofErr w:type="gramEnd"/>
      <w:r w:rsidRPr="00B850CD">
        <w:t xml:space="preserve">  </w:t>
      </w:r>
      <w:proofErr w:type="gramStart"/>
      <w:r w:rsidRPr="00B850CD">
        <w:t>abril  de</w:t>
      </w:r>
      <w:proofErr w:type="gramEnd"/>
      <w:r w:rsidRPr="00B850CD">
        <w:t xml:space="preserve">  </w:t>
      </w:r>
      <w:proofErr w:type="gramStart"/>
      <w:r w:rsidRPr="00B850CD">
        <w:t>2016  -</w:t>
      </w:r>
      <w:proofErr w:type="gramEnd"/>
      <w:r w:rsidRPr="00B850CD">
        <w:t xml:space="preserve">  </w:t>
      </w:r>
      <w:proofErr w:type="gramStart"/>
      <w:r w:rsidRPr="00B850CD">
        <w:t>relativo  à</w:t>
      </w:r>
      <w:proofErr w:type="gramEnd"/>
      <w:r w:rsidRPr="00B850CD">
        <w:t xml:space="preserve">  </w:t>
      </w:r>
      <w:proofErr w:type="gramStart"/>
      <w:r w:rsidRPr="00B850CD">
        <w:t>proteção  das</w:t>
      </w:r>
      <w:proofErr w:type="gramEnd"/>
      <w:r w:rsidRPr="00B850CD">
        <w:t xml:space="preserve">  </w:t>
      </w:r>
      <w:proofErr w:type="gramStart"/>
      <w:r w:rsidRPr="00B850CD">
        <w:t>pessoas  singulares</w:t>
      </w:r>
      <w:proofErr w:type="gramEnd"/>
      <w:r w:rsidRPr="00B850CD">
        <w:t xml:space="preserve">  </w:t>
      </w:r>
      <w:proofErr w:type="gramStart"/>
      <w:r w:rsidRPr="00B850CD">
        <w:t>no  que</w:t>
      </w:r>
      <w:proofErr w:type="gramEnd"/>
      <w:r w:rsidRPr="00B850CD">
        <w:t xml:space="preserve">  </w:t>
      </w:r>
      <w:proofErr w:type="gramStart"/>
      <w:r w:rsidRPr="00B850CD">
        <w:t>diz  respeito</w:t>
      </w:r>
      <w:proofErr w:type="gramEnd"/>
      <w:r w:rsidRPr="00B850CD">
        <w:t xml:space="preserve">  </w:t>
      </w:r>
      <w:proofErr w:type="gramStart"/>
      <w:r w:rsidRPr="00B850CD">
        <w:t>ao  tratamento</w:t>
      </w:r>
      <w:proofErr w:type="gramEnd"/>
      <w:r w:rsidRPr="00B850CD">
        <w:t xml:space="preserve">  </w:t>
      </w:r>
      <w:proofErr w:type="gramStart"/>
      <w:r w:rsidRPr="00B850CD">
        <w:t>de  dados</w:t>
      </w:r>
      <w:proofErr w:type="gramEnd"/>
      <w:r w:rsidRPr="00B850CD">
        <w:t xml:space="preserve">  </w:t>
      </w:r>
      <w:proofErr w:type="gramStart"/>
      <w:r w:rsidRPr="00B850CD">
        <w:t>pessoais  e</w:t>
      </w:r>
      <w:proofErr w:type="gramEnd"/>
      <w:r w:rsidRPr="00B850CD">
        <w:t xml:space="preserve">  </w:t>
      </w:r>
      <w:proofErr w:type="gramStart"/>
      <w:r w:rsidRPr="00B850CD">
        <w:t>à  livre</w:t>
      </w:r>
      <w:proofErr w:type="gramEnd"/>
      <w:r w:rsidRPr="00B850CD">
        <w:t xml:space="preserve">  </w:t>
      </w:r>
      <w:proofErr w:type="gramStart"/>
      <w:r w:rsidRPr="00B850CD">
        <w:t>circulação  desses</w:t>
      </w:r>
      <w:proofErr w:type="gramEnd"/>
      <w:r w:rsidRPr="00B850CD">
        <w:t xml:space="preserve">  </w:t>
      </w:r>
      <w:proofErr w:type="gramStart"/>
      <w:r w:rsidRPr="00B850CD">
        <w:t>dados  e</w:t>
      </w:r>
      <w:proofErr w:type="gramEnd"/>
      <w:r w:rsidRPr="00B850CD">
        <w:t xml:space="preserve">  </w:t>
      </w:r>
      <w:proofErr w:type="gramStart"/>
      <w:r w:rsidRPr="00B850CD">
        <w:t>que  revoga</w:t>
      </w:r>
      <w:proofErr w:type="gramEnd"/>
      <w:r w:rsidRPr="00B850CD">
        <w:t xml:space="preserve">  </w:t>
      </w:r>
      <w:proofErr w:type="gramStart"/>
      <w:r w:rsidRPr="00B850CD">
        <w:t>a  Diretiva</w:t>
      </w:r>
      <w:proofErr w:type="gramEnd"/>
      <w:r w:rsidRPr="00B850CD">
        <w:t xml:space="preserve">  95</w:t>
      </w:r>
      <w:proofErr w:type="gramStart"/>
      <w:r w:rsidRPr="00B850CD">
        <w:t>/  46/  CE</w:t>
      </w:r>
      <w:proofErr w:type="gramEnd"/>
      <w:r w:rsidRPr="00B850CD">
        <w:t xml:space="preserve">  (</w:t>
      </w:r>
      <w:proofErr w:type="gramStart"/>
      <w:r w:rsidRPr="00B850CD">
        <w:t>Regulamento  Geral</w:t>
      </w:r>
      <w:proofErr w:type="gramEnd"/>
      <w:r w:rsidRPr="00B850CD">
        <w:t xml:space="preserve">  </w:t>
      </w:r>
      <w:proofErr w:type="gramStart"/>
      <w:r w:rsidRPr="00B850CD">
        <w:t>sobre  a</w:t>
      </w:r>
      <w:proofErr w:type="gramEnd"/>
      <w:r w:rsidRPr="00B850CD">
        <w:t xml:space="preserve">  </w:t>
      </w:r>
      <w:proofErr w:type="gramStart"/>
      <w:r w:rsidRPr="00B850CD">
        <w:t>Proteção  de</w:t>
      </w:r>
      <w:proofErr w:type="gramEnd"/>
      <w:r w:rsidRPr="00B850CD">
        <w:t xml:space="preserve">  Dados) [Regulamento] [Internet]. Bruxelas: Jornal Oficial da União Europeia, L 119/1; 2016. Disponível em: https://data.europa.eu/eli/reg/2016/679/oj</w:t>
      </w:r>
    </w:p>
    <w:p w14:paraId="480688A6" w14:textId="6DC972EB" w:rsidR="00330E7E" w:rsidRDefault="00330E7E">
      <w:pPr>
        <w:spacing w:after="240" w:line="240" w:lineRule="auto"/>
        <w:ind w:left="264"/>
        <w:rPr>
          <w:rFonts w:ascii="Oswald" w:eastAsia="Oswald" w:hAnsi="Oswald" w:cs="Oswald"/>
          <w:sz w:val="24"/>
          <w:szCs w:val="24"/>
        </w:rPr>
      </w:pPr>
      <w:r w:rsidRPr="00330E7E">
        <w:rPr>
          <w:rFonts w:eastAsia="Oswald"/>
        </w:rPr>
        <w:fldChar w:fldCharType="end"/>
      </w:r>
    </w:p>
    <w:sectPr w:rsidR="00330E7E" w:rsidSect="00B079C9">
      <w:footerReference w:type="even" r:id="rId9"/>
      <w:footerReference w:type="default" r:id="rId10"/>
      <w:footerReference w:type="first" r:id="rId11"/>
      <w:pgSz w:w="11909" w:h="16834"/>
      <w:pgMar w:top="1440" w:right="1440" w:bottom="1440" w:left="1440" w:header="454" w:footer="454"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B6D14" w14:textId="77777777" w:rsidR="000D66D7" w:rsidRDefault="000D66D7" w:rsidP="00DB7556">
      <w:pPr>
        <w:spacing w:line="240" w:lineRule="auto"/>
      </w:pPr>
      <w:r>
        <w:separator/>
      </w:r>
    </w:p>
  </w:endnote>
  <w:endnote w:type="continuationSeparator" w:id="0">
    <w:p w14:paraId="620FB65A" w14:textId="77777777" w:rsidR="000D66D7" w:rsidRDefault="000D66D7" w:rsidP="00DB75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1" w:fontKey="{896528B6-342F-40A9-B609-A42FE49A026E}"/>
    <w:embedBold r:id="rId2" w:fontKey="{21E718D8-067C-4F9A-86ED-B76A9B22E096}"/>
  </w:font>
  <w:font w:name="Calibri">
    <w:panose1 w:val="020F0502020204030204"/>
    <w:charset w:val="00"/>
    <w:family w:val="swiss"/>
    <w:pitch w:val="variable"/>
    <w:sig w:usb0="E4002EFF" w:usb1="C200247B" w:usb2="00000009" w:usb3="00000000" w:csb0="000001FF" w:csb1="00000000"/>
    <w:embedRegular r:id="rId3" w:fontKey="{E2752E40-2817-4D75-9DB3-024F39D5D129}"/>
  </w:font>
  <w:font w:name="Cambria Math">
    <w:panose1 w:val="02040503050406030204"/>
    <w:charset w:val="00"/>
    <w:family w:val="roman"/>
    <w:pitch w:val="variable"/>
    <w:sig w:usb0="E00006FF" w:usb1="420024FF" w:usb2="02000000" w:usb3="00000000" w:csb0="0000019F" w:csb1="00000000"/>
    <w:embedRegular r:id="rId4" w:fontKey="{7F4B51B3-4A4C-4607-8910-F98A51C25E4F}"/>
  </w:font>
  <w:font w:name="Oswald">
    <w:charset w:val="00"/>
    <w:family w:val="auto"/>
    <w:pitch w:val="variable"/>
    <w:sig w:usb0="2000020F" w:usb1="00000000" w:usb2="00000000" w:usb3="00000000" w:csb0="00000197" w:csb1="00000000"/>
    <w:embedRegular r:id="rId5" w:fontKey="{49074958-AC27-42A8-BCC9-38F60D033247}"/>
  </w:font>
  <w:font w:name="Cambria">
    <w:panose1 w:val="02040503050406030204"/>
    <w:charset w:val="00"/>
    <w:family w:val="roman"/>
    <w:pitch w:val="variable"/>
    <w:sig w:usb0="E00006FF" w:usb1="420024FF" w:usb2="02000000" w:usb3="00000000" w:csb0="0000019F" w:csb1="00000000"/>
    <w:embedRegular r:id="rId6" w:fontKey="{FB58039A-1191-4802-AB81-9C484E49208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4368A" w14:textId="77777777" w:rsidR="004D7A69" w:rsidRDefault="004D7A69" w:rsidP="004D7A69">
    <w:pPr>
      <w:pStyle w:val="Rodap"/>
      <w:pBdr>
        <w:top w:val="single" w:sz="4" w:space="1" w:color="auto"/>
      </w:pBdr>
    </w:pPr>
  </w:p>
  <w:p w14:paraId="03BD9320" w14:textId="7280EF96" w:rsidR="00B079C9" w:rsidRDefault="00B079C9" w:rsidP="004D7A69">
    <w:pPr>
      <w:pStyle w:val="Rodap"/>
      <w:pBdr>
        <w:top w:val="single" w:sz="4" w:space="1" w:color="auto"/>
      </w:pBdr>
    </w:pPr>
    <w:r>
      <w:t xml:space="preserve">Página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de </w:t>
    </w:r>
    <w:r>
      <w:rPr>
        <w:b/>
        <w:bCs/>
      </w:rPr>
      <w:fldChar w:fldCharType="begin"/>
    </w:r>
    <w:r>
      <w:rPr>
        <w:b/>
        <w:bCs/>
      </w:rPr>
      <w:instrText>NUMPAGES  \* Arabic  \* MERGEFORMAT</w:instrText>
    </w:r>
    <w:r>
      <w:rPr>
        <w:b/>
        <w:bCs/>
      </w:rPr>
      <w:fldChar w:fldCharType="separate"/>
    </w:r>
    <w:r>
      <w:rPr>
        <w:b/>
        <w:bCs/>
      </w:rPr>
      <w:t>2</w:t>
    </w:r>
    <w:r>
      <w:rPr>
        <w:b/>
        <w:bCs/>
      </w:rPr>
      <w:fldChar w:fldCharType="end"/>
    </w:r>
    <w:r>
      <w:ptab w:relativeTo="margin" w:alignment="center" w:leader="none"/>
    </w:r>
    <w: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7E729" w14:textId="77777777" w:rsidR="004D7A69" w:rsidRDefault="004D7A69" w:rsidP="004D7A69">
    <w:pPr>
      <w:pStyle w:val="Rodap"/>
      <w:pBdr>
        <w:top w:val="single" w:sz="4" w:space="1" w:color="auto"/>
      </w:pBdr>
    </w:pPr>
  </w:p>
  <w:p w14:paraId="382C85AE" w14:textId="205D3F73" w:rsidR="00B079C9" w:rsidRDefault="00B079C9" w:rsidP="004D7A69">
    <w:pPr>
      <w:pStyle w:val="Rodap"/>
      <w:pBdr>
        <w:top w:val="single" w:sz="4" w:space="1" w:color="auto"/>
      </w:pBdr>
    </w:pPr>
    <w:r>
      <w:ptab w:relativeTo="margin" w:alignment="center" w:leader="none"/>
    </w:r>
    <w:r>
      <w:ptab w:relativeTo="margin" w:alignment="right" w:leader="none"/>
    </w:r>
    <w:r>
      <w:t xml:space="preserve">Página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de </w:t>
    </w:r>
    <w:r>
      <w:rPr>
        <w:b/>
        <w:bCs/>
      </w:rPr>
      <w:fldChar w:fldCharType="begin"/>
    </w:r>
    <w:r>
      <w:rPr>
        <w:b/>
        <w:bCs/>
      </w:rPr>
      <w:instrText>NUMPAGES  \* Arabic  \* MERGEFORMAT</w:instrText>
    </w:r>
    <w:r>
      <w:rPr>
        <w:b/>
        <w:bCs/>
      </w:rPr>
      <w:fldChar w:fldCharType="separate"/>
    </w:r>
    <w:r>
      <w:rPr>
        <w:b/>
        <w:bCs/>
      </w:rPr>
      <w:t>2</w:t>
    </w:r>
    <w:r>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80E8F" w14:textId="70634F8D" w:rsidR="00B079C9" w:rsidRDefault="00B079C9" w:rsidP="00B079C9">
    <w:pPr>
      <w:pStyle w:val="Rodap"/>
      <w:pBdr>
        <w:top w:val="single" w:sz="4" w:space="1" w:color="auto"/>
      </w:pBdr>
    </w:pPr>
  </w:p>
  <w:p w14:paraId="111D88F5" w14:textId="1C9F107B" w:rsidR="00B079C9" w:rsidRPr="003E59E1" w:rsidRDefault="00B079C9" w:rsidP="00B079C9">
    <w:pPr>
      <w:pStyle w:val="Rodap"/>
      <w:pBdr>
        <w:top w:val="single" w:sz="4" w:space="1" w:color="auto"/>
      </w:pBdr>
      <w:rPr>
        <w:rFonts w:ascii="Arial Narrow" w:hAnsi="Arial Narrow"/>
      </w:rPr>
    </w:pPr>
    <w:r w:rsidRPr="003E59E1">
      <w:rPr>
        <w:rFonts w:ascii="Arial Narrow" w:hAnsi="Arial Narrow"/>
      </w:rPr>
      <w:ptab w:relativeTo="margin" w:alignment="center" w:leader="none"/>
    </w:r>
    <w:r w:rsidRPr="003E59E1">
      <w:rPr>
        <w:rFonts w:ascii="Arial Narrow" w:hAnsi="Arial Narrow"/>
      </w:rPr>
      <w:t>Porto, 2026</w:t>
    </w:r>
    <w:r w:rsidRPr="003E59E1">
      <w:rPr>
        <w:rFonts w:ascii="Arial Narrow" w:hAnsi="Arial Narrow"/>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FF5AB" w14:textId="77777777" w:rsidR="000D66D7" w:rsidRDefault="000D66D7" w:rsidP="00DB7556">
      <w:pPr>
        <w:spacing w:line="240" w:lineRule="auto"/>
      </w:pPr>
      <w:r>
        <w:separator/>
      </w:r>
    </w:p>
  </w:footnote>
  <w:footnote w:type="continuationSeparator" w:id="0">
    <w:p w14:paraId="5356030D" w14:textId="77777777" w:rsidR="000D66D7" w:rsidRDefault="000D66D7" w:rsidP="00DB755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55DB4"/>
    <w:multiLevelType w:val="multilevel"/>
    <w:tmpl w:val="53F2BFE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366785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autoHyphenation/>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1B4B"/>
    <w:rsid w:val="00001633"/>
    <w:rsid w:val="00004AB2"/>
    <w:rsid w:val="000B7658"/>
    <w:rsid w:val="000C27A7"/>
    <w:rsid w:val="000D66D7"/>
    <w:rsid w:val="000E0240"/>
    <w:rsid w:val="000E1340"/>
    <w:rsid w:val="000E1CD5"/>
    <w:rsid w:val="000E2DDA"/>
    <w:rsid w:val="000F766A"/>
    <w:rsid w:val="0010069A"/>
    <w:rsid w:val="0011038D"/>
    <w:rsid w:val="0011232A"/>
    <w:rsid w:val="00113FDC"/>
    <w:rsid w:val="0013199C"/>
    <w:rsid w:val="001402D5"/>
    <w:rsid w:val="001E3760"/>
    <w:rsid w:val="0021490F"/>
    <w:rsid w:val="00225DC9"/>
    <w:rsid w:val="00226E80"/>
    <w:rsid w:val="00234B67"/>
    <w:rsid w:val="00260A59"/>
    <w:rsid w:val="00261E8A"/>
    <w:rsid w:val="0026330D"/>
    <w:rsid w:val="00273F2F"/>
    <w:rsid w:val="002D5992"/>
    <w:rsid w:val="002F798F"/>
    <w:rsid w:val="0033054B"/>
    <w:rsid w:val="003309FC"/>
    <w:rsid w:val="00330E7E"/>
    <w:rsid w:val="00353C6E"/>
    <w:rsid w:val="003737A2"/>
    <w:rsid w:val="00375BD5"/>
    <w:rsid w:val="00381138"/>
    <w:rsid w:val="00385D67"/>
    <w:rsid w:val="003B5A03"/>
    <w:rsid w:val="003E59E1"/>
    <w:rsid w:val="003F49C5"/>
    <w:rsid w:val="00404BD6"/>
    <w:rsid w:val="00446E16"/>
    <w:rsid w:val="00456DA6"/>
    <w:rsid w:val="00461B4B"/>
    <w:rsid w:val="0049328A"/>
    <w:rsid w:val="00496146"/>
    <w:rsid w:val="004A3449"/>
    <w:rsid w:val="004D4EF8"/>
    <w:rsid w:val="004D7A69"/>
    <w:rsid w:val="004E31FC"/>
    <w:rsid w:val="005032E9"/>
    <w:rsid w:val="005477B8"/>
    <w:rsid w:val="00572442"/>
    <w:rsid w:val="0058206E"/>
    <w:rsid w:val="005A2B29"/>
    <w:rsid w:val="005A3BD8"/>
    <w:rsid w:val="005B32AB"/>
    <w:rsid w:val="005B3BEC"/>
    <w:rsid w:val="006452F9"/>
    <w:rsid w:val="0064732C"/>
    <w:rsid w:val="00653156"/>
    <w:rsid w:val="00655065"/>
    <w:rsid w:val="00677B54"/>
    <w:rsid w:val="00694A24"/>
    <w:rsid w:val="006A562D"/>
    <w:rsid w:val="006A7B40"/>
    <w:rsid w:val="006C2E65"/>
    <w:rsid w:val="006F33C0"/>
    <w:rsid w:val="0070260C"/>
    <w:rsid w:val="0070476D"/>
    <w:rsid w:val="007333FE"/>
    <w:rsid w:val="007436C0"/>
    <w:rsid w:val="00752769"/>
    <w:rsid w:val="0075585A"/>
    <w:rsid w:val="007A206E"/>
    <w:rsid w:val="007A2ADF"/>
    <w:rsid w:val="007A610C"/>
    <w:rsid w:val="007B3E01"/>
    <w:rsid w:val="007C4FE1"/>
    <w:rsid w:val="007E6AB3"/>
    <w:rsid w:val="008226E9"/>
    <w:rsid w:val="008272A6"/>
    <w:rsid w:val="00832230"/>
    <w:rsid w:val="0084500D"/>
    <w:rsid w:val="00850FDB"/>
    <w:rsid w:val="008612D7"/>
    <w:rsid w:val="00885A7D"/>
    <w:rsid w:val="0089459B"/>
    <w:rsid w:val="00896530"/>
    <w:rsid w:val="008B57EA"/>
    <w:rsid w:val="008D4964"/>
    <w:rsid w:val="008E4D06"/>
    <w:rsid w:val="008F562F"/>
    <w:rsid w:val="008F6F4C"/>
    <w:rsid w:val="0090202C"/>
    <w:rsid w:val="009076A2"/>
    <w:rsid w:val="00920D3C"/>
    <w:rsid w:val="00927263"/>
    <w:rsid w:val="009535AB"/>
    <w:rsid w:val="009577E2"/>
    <w:rsid w:val="00975787"/>
    <w:rsid w:val="009A08F8"/>
    <w:rsid w:val="009D4626"/>
    <w:rsid w:val="009E606B"/>
    <w:rsid w:val="009F1ECD"/>
    <w:rsid w:val="009F57FA"/>
    <w:rsid w:val="00A12399"/>
    <w:rsid w:val="00A26B9E"/>
    <w:rsid w:val="00A71AD0"/>
    <w:rsid w:val="00A95D99"/>
    <w:rsid w:val="00AC3AF2"/>
    <w:rsid w:val="00AD75F0"/>
    <w:rsid w:val="00B03838"/>
    <w:rsid w:val="00B0414A"/>
    <w:rsid w:val="00B079C9"/>
    <w:rsid w:val="00B12B35"/>
    <w:rsid w:val="00B13FF0"/>
    <w:rsid w:val="00B44B3C"/>
    <w:rsid w:val="00B80DAA"/>
    <w:rsid w:val="00B850CD"/>
    <w:rsid w:val="00C90ED3"/>
    <w:rsid w:val="00C9538D"/>
    <w:rsid w:val="00CA1AF8"/>
    <w:rsid w:val="00CA4858"/>
    <w:rsid w:val="00CB53FE"/>
    <w:rsid w:val="00CD7E94"/>
    <w:rsid w:val="00CE16FF"/>
    <w:rsid w:val="00CE17E0"/>
    <w:rsid w:val="00CE595B"/>
    <w:rsid w:val="00D1550C"/>
    <w:rsid w:val="00D36688"/>
    <w:rsid w:val="00D75981"/>
    <w:rsid w:val="00D85810"/>
    <w:rsid w:val="00D9712B"/>
    <w:rsid w:val="00DB7556"/>
    <w:rsid w:val="00DC55C3"/>
    <w:rsid w:val="00DF571F"/>
    <w:rsid w:val="00E40C14"/>
    <w:rsid w:val="00E565AA"/>
    <w:rsid w:val="00E63F1B"/>
    <w:rsid w:val="00E710D4"/>
    <w:rsid w:val="00E805A7"/>
    <w:rsid w:val="00E81F83"/>
    <w:rsid w:val="00E82CD3"/>
    <w:rsid w:val="00E832D9"/>
    <w:rsid w:val="00E9219F"/>
    <w:rsid w:val="00E92EBF"/>
    <w:rsid w:val="00ED18B9"/>
    <w:rsid w:val="00EF4A49"/>
    <w:rsid w:val="00EF5BEE"/>
    <w:rsid w:val="00F40868"/>
    <w:rsid w:val="00F800CD"/>
    <w:rsid w:val="00FC778D"/>
    <w:rsid w:val="00FE37C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BD4491"/>
  <w15:docId w15:val="{3119C08F-7FA1-42B7-BC0E-80CBFE9F9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PT" w:eastAsia="pt-P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Textodenotaderodap">
    <w:name w:val="footnote text"/>
    <w:basedOn w:val="Normal"/>
    <w:link w:val="TextodenotaderodapCarter"/>
    <w:uiPriority w:val="99"/>
    <w:semiHidden/>
    <w:unhideWhenUsed/>
    <w:rsid w:val="00DB7556"/>
    <w:pPr>
      <w:spacing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DB7556"/>
    <w:rPr>
      <w:sz w:val="20"/>
      <w:szCs w:val="20"/>
    </w:rPr>
  </w:style>
  <w:style w:type="character" w:styleId="Refdenotaderodap">
    <w:name w:val="footnote reference"/>
    <w:basedOn w:val="Tipodeletrapredefinidodopargrafo"/>
    <w:uiPriority w:val="99"/>
    <w:semiHidden/>
    <w:unhideWhenUsed/>
    <w:rsid w:val="00DB7556"/>
    <w:rPr>
      <w:vertAlign w:val="superscript"/>
    </w:rPr>
  </w:style>
  <w:style w:type="paragraph" w:styleId="Textodenotadefim">
    <w:name w:val="endnote text"/>
    <w:basedOn w:val="Normal"/>
    <w:link w:val="TextodenotadefimCarter"/>
    <w:uiPriority w:val="99"/>
    <w:semiHidden/>
    <w:unhideWhenUsed/>
    <w:rsid w:val="00DB7556"/>
    <w:pPr>
      <w:spacing w:line="240" w:lineRule="auto"/>
    </w:pPr>
    <w:rPr>
      <w:sz w:val="20"/>
      <w:szCs w:val="20"/>
    </w:rPr>
  </w:style>
  <w:style w:type="character" w:customStyle="1" w:styleId="TextodenotadefimCarter">
    <w:name w:val="Texto de nota de fim Caráter"/>
    <w:basedOn w:val="Tipodeletrapredefinidodopargrafo"/>
    <w:link w:val="Textodenotadefim"/>
    <w:uiPriority w:val="99"/>
    <w:semiHidden/>
    <w:rsid w:val="00DB7556"/>
    <w:rPr>
      <w:sz w:val="20"/>
      <w:szCs w:val="20"/>
    </w:rPr>
  </w:style>
  <w:style w:type="character" w:styleId="Refdenotadefim">
    <w:name w:val="endnote reference"/>
    <w:basedOn w:val="Tipodeletrapredefinidodopargrafo"/>
    <w:uiPriority w:val="99"/>
    <w:semiHidden/>
    <w:unhideWhenUsed/>
    <w:rsid w:val="00DB7556"/>
    <w:rPr>
      <w:vertAlign w:val="superscript"/>
    </w:rPr>
  </w:style>
  <w:style w:type="paragraph" w:styleId="Bibliografia">
    <w:name w:val="Bibliography"/>
    <w:basedOn w:val="Normal"/>
    <w:next w:val="Normal"/>
    <w:uiPriority w:val="37"/>
    <w:unhideWhenUsed/>
    <w:rsid w:val="00330E7E"/>
    <w:pPr>
      <w:tabs>
        <w:tab w:val="left" w:pos="264"/>
      </w:tabs>
      <w:spacing w:after="240" w:line="240" w:lineRule="auto"/>
      <w:ind w:left="264" w:hanging="264"/>
    </w:pPr>
  </w:style>
  <w:style w:type="paragraph" w:styleId="Cabealho">
    <w:name w:val="header"/>
    <w:basedOn w:val="Normal"/>
    <w:link w:val="CabealhoCarter"/>
    <w:uiPriority w:val="99"/>
    <w:unhideWhenUsed/>
    <w:rsid w:val="00B079C9"/>
    <w:pPr>
      <w:tabs>
        <w:tab w:val="center" w:pos="4252"/>
        <w:tab w:val="right" w:pos="8504"/>
      </w:tabs>
      <w:spacing w:line="240" w:lineRule="auto"/>
    </w:pPr>
  </w:style>
  <w:style w:type="character" w:customStyle="1" w:styleId="CabealhoCarter">
    <w:name w:val="Cabeçalho Caráter"/>
    <w:basedOn w:val="Tipodeletrapredefinidodopargrafo"/>
    <w:link w:val="Cabealho"/>
    <w:uiPriority w:val="99"/>
    <w:rsid w:val="00B079C9"/>
  </w:style>
  <w:style w:type="paragraph" w:styleId="Rodap">
    <w:name w:val="footer"/>
    <w:basedOn w:val="Normal"/>
    <w:link w:val="RodapCarter"/>
    <w:uiPriority w:val="99"/>
    <w:unhideWhenUsed/>
    <w:rsid w:val="00B079C9"/>
    <w:pPr>
      <w:tabs>
        <w:tab w:val="center" w:pos="4252"/>
        <w:tab w:val="right" w:pos="8504"/>
      </w:tabs>
      <w:spacing w:line="240" w:lineRule="auto"/>
    </w:pPr>
  </w:style>
  <w:style w:type="character" w:customStyle="1" w:styleId="RodapCarter">
    <w:name w:val="Rodapé Caráter"/>
    <w:basedOn w:val="Tipodeletrapredefinidodopargrafo"/>
    <w:link w:val="Rodap"/>
    <w:uiPriority w:val="99"/>
    <w:rsid w:val="00B079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Anexo" Type="http://schemas.openxmlformats.org/officeDocument/2006/relationships/hyperlink" Target="Anexo_Protocolo_Cafeina_Parkinson.docx"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BD3210-1AA2-4DD5-AC65-423B24DA4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1931</TotalTime>
  <Pages>9</Pages>
  <Words>18817</Words>
  <Characters>101615</Characters>
  <Application>Microsoft Office Word</Application>
  <DocSecurity>0</DocSecurity>
  <Lines>846</Lines>
  <Paragraphs>240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Pedro Miguel Moreira Pereira Afonso</cp:lastModifiedBy>
  <cp:revision>129</cp:revision>
  <dcterms:created xsi:type="dcterms:W3CDTF">2026-10-02T22:39:00Z</dcterms:created>
  <dcterms:modified xsi:type="dcterms:W3CDTF">2026-10-13T18:53:00Z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id="zjiz0kW8"/&gt;&lt;style id="http://www.zotero.org/styles/nlm-citation-sequence-brackets" locale="pt-PT" hasBibliography="1" bibliographyStyleHasBeenSet="1"/&gt;&lt;prefs&gt;&lt;pref name="fieldType" value="Field"/</vt:lpwstr>
  </property>
  <property fmtid="{D5CDD505-2E9C-101B-9397-08002B2CF9AE}" pid="3" name="ZOTERO_PREF_2">
    <vt:lpwstr>&gt;&lt;/prefs&gt;&lt;/data&gt;</vt:lpwstr>
  </property>
</Properties>
</file>