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Coastal Retail - Store Stock and Reorder Guidelines</w:t>
      </w:r>
    </w:p>
    <w:p>
      <w:pPr>
        <w:spacing w:after="120"/>
        <w:rPr>
          <w:i/>
          <w:iCs/>
          <w:sz w:val="20"/>
          <w:szCs w:val="20"/>
        </w:rPr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For all store managers. Issued by Operations, Coastal Retail Ltd. Aug 2026.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store must keep minimum stock of fast moving items. When stock goes below minimum, store manager raises a purchase requisition (PR) in D365.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 type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Reorder when stock is below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moving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days of sales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 moving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days of sales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</w:rPr>
        <w:t xml:space="preserve">Stock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stock count every month on last Saturday, after store 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Difference more than 2% of item value - report to Area Manager within 2 days.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</w:rPr>
        <w:t xml:space="preserve">Approvals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 Manager can approve purchase requisitions up to INR 30,000. Above INR 30,000 the Area Manager approves.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 stock and reorder guidelines</dc:title>
  <dc:creator>Operations - Coastal Retail</dc:creator>
  <cp:lastModifiedBy>Un-named</cp:lastModifiedBy>
  <cp:revision>1</cp:revision>
  <dcterms:created xsi:type="dcterms:W3CDTF">2026-10-13T03:37:02.488Z</dcterms:created>
  <dcterms:modified xsi:type="dcterms:W3CDTF">2026-10-13T03:37:02.488Z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