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PE</w:t>
      </w:r>
      <w:r>
        <w:t xml:space="preserve"> </w:t>
      </w:r>
      <w:r>
        <w:t xml:space="preserve">Accessible</w:t>
      </w:r>
    </w:p>
    <w:p>
      <w:pPr>
        <w:pStyle w:val="FirstParagraph"/>
      </w:pPr>
      <w:r>
        <w:t xml:space="preserve">These are resources and recommendations to follow to promote user-friendly PE materials.</w:t>
      </w:r>
    </w:p>
    <w:bookmarkStart w:id="24" w:name="resources"/>
    <w:p>
      <w:pPr>
        <w:pStyle w:val="Heading2"/>
      </w:pPr>
      <w:r>
        <w:t xml:space="preserve">Resources</w:t>
      </w:r>
    </w:p>
    <w:bookmarkStart w:id="21" w:name="simply-put-cdc-guide"/>
    <w:p>
      <w:pPr>
        <w:pStyle w:val="Heading3"/>
      </w:pP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Simply Put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CDC guide</w:t>
        </w:r>
      </w:hyperlink>
    </w:p>
    <w:p>
      <w:pPr>
        <w:pStyle w:val="FirstParagraph"/>
      </w:pPr>
      <w:r>
        <w:rPr>
          <w:bCs/>
          <w:b/>
        </w:rPr>
        <w:t xml:space="preserve">Recommendation: tell audience what they need to do with actionable statements.</w:t>
      </w:r>
    </w:p>
    <w:p>
      <w:pPr>
        <w:numPr>
          <w:ilvl w:val="0"/>
          <w:numId w:val="1001"/>
        </w:numPr>
        <w:pStyle w:val="Compact"/>
      </w:pPr>
      <w:r>
        <w:t xml:space="preserve">Use active voice and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statements, i.e.,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You need to…</w:t>
      </w:r>
      <w:r>
        <w:rPr>
          <w:iCs/>
          <w:i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Talk with your doctor about…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Recommendation: Limit negatives like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do not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should not;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instead, emphasize what the audience should do.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“</w:t>
      </w:r>
      <w:r>
        <w:t xml:space="preserve">do nots</w:t>
      </w:r>
      <w:r>
        <w:t xml:space="preserve">”</w:t>
      </w:r>
      <w:r>
        <w:t xml:space="preserve"> </w:t>
      </w:r>
      <w:r>
        <w:t xml:space="preserve">are unavoidable - try using bulleted lists to separate</w:t>
      </w:r>
      <w:r>
        <w:t xml:space="preserve"> </w:t>
      </w:r>
      <w:r>
        <w:t xml:space="preserve">“</w:t>
      </w:r>
      <w:r>
        <w:t xml:space="preserve">do’s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don’ts</w:t>
      </w:r>
      <w:r>
        <w:t xml:space="preserve">”</w:t>
      </w:r>
      <w:r>
        <w:t xml:space="preserve"> </w:t>
      </w:r>
      <w:r>
        <w:t xml:space="preserve">so the audience can easily reference instructions.</w:t>
      </w:r>
    </w:p>
    <w:p>
      <w:pPr>
        <w:pStyle w:val="FirstParagraph"/>
      </w:pPr>
      <w:r>
        <w:rPr>
          <w:bCs/>
          <w:b/>
        </w:rPr>
        <w:t xml:space="preserve">Recommendation: Limit use of statistics.</w:t>
      </w:r>
    </w:p>
    <w:p>
      <w:pPr>
        <w:numPr>
          <w:ilvl w:val="0"/>
          <w:numId w:val="1003"/>
        </w:numPr>
        <w:pStyle w:val="Compact"/>
      </w:pPr>
      <w:r>
        <w:t xml:space="preserve">Instead of numbers and percents, use more general terms to emphasize the meaning, i.e.,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nearly all…,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rarely…,</w:t>
      </w:r>
      <w:r>
        <w:rPr>
          <w:iCs/>
          <w:i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half…</w:t>
      </w:r>
      <w:r>
        <w:rPr>
          <w:iCs/>
          <w:i/>
        </w:rP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Put statistics in parentheses if you feel they are necessary to include, i.e. </w:t>
      </w:r>
      <w:r>
        <w:rPr>
          <w:iCs/>
          <w:i/>
        </w:rPr>
        <w:t xml:space="preserve">“</w:t>
      </w:r>
      <w:r>
        <w:rPr>
          <w:iCs/>
          <w:i/>
        </w:rPr>
        <w:t xml:space="preserve">In almost all cases (95%)…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Recommendation: Use visuals to help explain the text.</w:t>
      </w:r>
    </w:p>
    <w:p>
      <w:pPr>
        <w:numPr>
          <w:ilvl w:val="0"/>
          <w:numId w:val="1004"/>
        </w:numPr>
        <w:pStyle w:val="Compact"/>
      </w:pPr>
      <w:r>
        <w:t xml:space="preserve">Make sure visuals are explanatory/relevant to the text.</w:t>
      </w:r>
    </w:p>
    <w:p>
      <w:pPr>
        <w:numPr>
          <w:ilvl w:val="0"/>
          <w:numId w:val="1004"/>
        </w:numPr>
        <w:pStyle w:val="Compact"/>
      </w:pPr>
      <w:r>
        <w:t xml:space="preserve">Use visuals with minimal lablels that only highlight relevant pieces of information.</w:t>
      </w:r>
    </w:p>
    <w:p>
      <w:pPr>
        <w:numPr>
          <w:ilvl w:val="0"/>
          <w:numId w:val="1004"/>
        </w:numPr>
        <w:pStyle w:val="Compact"/>
      </w:pPr>
      <w:r>
        <w:t xml:space="preserve">Use captions to highlight the key message of the visual</w:t>
      </w:r>
    </w:p>
    <w:p>
      <w:pPr>
        <w:numPr>
          <w:ilvl w:val="0"/>
          <w:numId w:val="1004"/>
        </w:numPr>
        <w:pStyle w:val="Compact"/>
      </w:pPr>
      <w:r>
        <w:t xml:space="preserve">Use visuals to reinforce actions that the audience should take rather than what the audience should not do.</w:t>
      </w:r>
    </w:p>
    <w:bookmarkEnd w:id="21"/>
    <w:bookmarkStart w:id="23" w:name="X70bf6fd7f95b400c0e34eabe9fc9332d75b2bf9"/>
    <w:p>
      <w:pPr>
        <w:pStyle w:val="Heading3"/>
      </w:pPr>
      <w:hyperlink r:id="rId22">
        <w:r>
          <w:rPr>
            <w:rStyle w:val="Hyperlink"/>
          </w:rPr>
          <w:t xml:space="preserve">Health Literacy Online Guide from the U.S. HHS</w:t>
        </w:r>
      </w:hyperlink>
    </w:p>
    <w:p>
      <w:pPr>
        <w:pStyle w:val="FirstParagraph"/>
      </w:pPr>
      <w:r>
        <w:rPr>
          <w:bCs/>
          <w:b/>
        </w:rPr>
        <w:t xml:space="preserve">Recommendation: Always use language that is familiar to your users.</w:t>
      </w:r>
    </w:p>
    <w:p>
      <w:pPr>
        <w:numPr>
          <w:ilvl w:val="0"/>
          <w:numId w:val="1005"/>
        </w:numPr>
        <w:pStyle w:val="Compact"/>
      </w:pPr>
      <w:r>
        <w:t xml:space="preserve">Avoid medical jargon</w:t>
      </w:r>
    </w:p>
    <w:p>
      <w:pPr>
        <w:numPr>
          <w:ilvl w:val="0"/>
          <w:numId w:val="1005"/>
        </w:numPr>
        <w:pStyle w:val="Compact"/>
      </w:pPr>
      <w:r>
        <w:t xml:space="preserve">Use less technical word choices wherever possible, i.e., 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cut</w:t>
      </w:r>
      <w:r>
        <w:rPr>
          <w:iCs/>
          <w:i/>
        </w:rPr>
        <w:t xml:space="preserve">”</w:t>
      </w:r>
      <w:r>
        <w:t xml:space="preserve"> </w:t>
      </w:r>
      <w:r>
        <w:t xml:space="preserve">as opposed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incision.</w:t>
      </w:r>
      <w:r>
        <w:rPr>
          <w:iCs/>
          <w:i/>
        </w:rPr>
        <w:t xml:space="preserve">”</w:t>
      </w:r>
    </w:p>
    <w:p>
      <w:pPr>
        <w:pStyle w:val="FirstParagraph"/>
      </w:pPr>
      <w:r>
        <w:rPr>
          <w:bCs/>
          <w:b/>
        </w:rPr>
        <w:t xml:space="preserve">Recommendation: Put the most important information first.</w:t>
      </w:r>
    </w:p>
    <w:p>
      <w:pPr>
        <w:numPr>
          <w:ilvl w:val="0"/>
          <w:numId w:val="1006"/>
        </w:numPr>
        <w:pStyle w:val="Compact"/>
      </w:pPr>
      <w:r>
        <w:t xml:space="preserve">If the audience needs to make a decision about getting a surgery, place the decision-making factors at the beginning of the document and procedural details at the bottom.</w:t>
      </w:r>
    </w:p>
    <w:p>
      <w:pPr>
        <w:pStyle w:val="FirstParagraph"/>
      </w:pPr>
      <w:r>
        <w:rPr>
          <w:bCs/>
          <w:b/>
        </w:rPr>
        <w:t xml:space="preserve">Recommendation: Think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need to know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vs. </w:t>
      </w:r>
      <w:r>
        <w:rPr>
          <w:bCs/>
          <w:b/>
        </w:rPr>
        <w:t xml:space="preserve">“</w:t>
      </w:r>
      <w:r>
        <w:rPr>
          <w:bCs/>
          <w:b/>
        </w:rPr>
        <w:t xml:space="preserve">nice to know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Consider which technical details may not be useful to the audience.</w:t>
      </w:r>
    </w:p>
    <w:p>
      <w:pPr>
        <w:numPr>
          <w:ilvl w:val="0"/>
          <w:numId w:val="1007"/>
        </w:numPr>
        <w:pStyle w:val="Compact"/>
      </w:pPr>
      <w:r>
        <w:t xml:space="preserve">Patient education is supposed to be supplemental; therefore, patients can seek more details from their primary care provider or specialists.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health.gov/healthliteracyonline/" TargetMode="External" /><Relationship Type="http://schemas.openxmlformats.org/officeDocument/2006/relationships/hyperlink" Id="rId20" Target="https://www.cdc.gov/healthliteracy/pdf/simply_p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health.gov/healthliteracyonline/" TargetMode="External" /><Relationship Type="http://schemas.openxmlformats.org/officeDocument/2006/relationships/hyperlink" Id="rId20" Target="https://www.cdc.gov/healthliteracy/pdf/simply_p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PE Accessible</dc:title>
  <dc:creator/>
  <cp:keywords/>
  <dcterms:created xsi:type="dcterms:W3CDTF">2023-10-08T03:05:22Z</dcterms:created>
  <dcterms:modified xsi:type="dcterms:W3CDTF">2023-10-08T03:05:22Z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