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b/>
          <w:color w:val="4E7563"/>
          <w:sz w:val="20"/>
        </w:rPr>
        <w:t>LOGIC2B · CAMPINGS</w:t>
      </w:r>
    </w:p>
    <w:p>
      <w:pPr>
        <w:pStyle w:val="Title"/>
      </w:pPr>
      <w:r>
        <w:t>E‑MEJORAS</w:t>
      </w:r>
    </w:p>
    <w:p>
      <w:pPr>
        <w:spacing w:after="440"/>
      </w:pPr>
      <w:r>
        <w:rPr>
          <w:color w:val="194E63"/>
          <w:sz w:val="30"/>
        </w:rPr>
        <w:t>Informe de ejecución, evidencia visual y roadmap pendiente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EAF2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4E7563"/>
                <w:sz w:val="18"/>
              </w:rPr>
              <w:t>RESULTADO</w:t>
            </w:r>
          </w:p>
          <w:p>
            <w:pPr>
              <w:spacing w:after="0" w:line="269" w:lineRule="auto"/>
            </w:pPr>
            <w:r>
              <w:t>Las mejoras de recepción, planning, plano, llegadas, fianza manual y acceso auditado están implementadas en la rama codex/e-mejoras. Este documento separa con precisión lo entregado de lo pendiente y de lo bloqueado por proveedores, credenciales o decisiones comerciales.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EAF1F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8"/>
              </w:rPr>
              <w:t>Proyecto</w:t>
            </w:r>
          </w:p>
        </w:tc>
        <w:tc>
          <w:tcPr>
            <w:tcW w:type="dxa" w:w="482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8"/>
              </w:rPr>
              <w:t>Logic Camp · demo Pinada del Mar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8"/>
              </w:rPr>
              <w:t>Rama</w:t>
            </w:r>
          </w:p>
        </w:tc>
        <w:tc>
          <w:tcPr>
            <w:tcW w:type="dxa" w:w="482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8"/>
              </w:rPr>
              <w:t>codex/e-mejoras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8"/>
              </w:rPr>
              <w:t>Fecha de corte</w:t>
            </w:r>
          </w:p>
        </w:tc>
        <w:tc>
          <w:tcPr>
            <w:tcW w:type="dxa" w:w="482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8"/>
              </w:rPr>
              <w:t>21 de agosto de 2026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8"/>
              </w:rPr>
              <w:t>Base documental</w:t>
            </w:r>
          </w:p>
        </w:tc>
        <w:tc>
          <w:tcPr>
            <w:tcW w:type="dxa" w:w="482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8"/>
              </w:rPr>
              <w:t>Propuestas Camping + ROADMAP + BACKLOG + RUTA-DESARROLLO-CONTINUO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8"/>
              </w:rPr>
              <w:t>Propósito</w:t>
            </w:r>
          </w:p>
        </w:tc>
        <w:tc>
          <w:tcPr>
            <w:tcW w:type="dxa" w:w="4824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8"/>
              </w:rPr>
              <w:t>Validación con socio y planificación de las siguientes ejecuciones</w:t>
            </w:r>
          </w:p>
        </w:tc>
      </w:tr>
    </w:tbl>
    <w:p/>
    <w:p>
      <w:r>
        <w:rPr>
          <w:i/>
          <w:color w:val="607079"/>
        </w:rPr>
        <w:t>Lectura rápida: verde = entregado; ámbar = parcial/condicionado; rojo = no iniciado o bloqueado externamente.</w:t>
      </w:r>
    </w:p>
    <w:p>
      <w:r>
        <w:br w:type="page"/>
      </w:r>
    </w:p>
    <w:p>
      <w:pPr>
        <w:pStyle w:val="Heading1"/>
        <w:keepNext/>
      </w:pPr>
      <w:r>
        <w:t>1. Resumen ejecutivo</w:t>
      </w:r>
    </w:p>
    <w:p>
      <w:r>
        <w:t>El bloque E‑mejoras ha convertido las sugerencias iniciales en un flujo operativo coherente de recepción: el usuario accede directamente al gestor; recepción identifica qué llegada está preparada; completa matrícula, ETA y credencial; cobra el saldo; controla la fianza fuera de ingresos; y solo entonces confirma el check‑in y deja constancia del acceso habilitado.</w:t>
      </w:r>
    </w:p>
    <w:p>
      <w:r>
        <w:t>La entrega no debe confundirse con una integración física completa. El software registra y audita la habilitación o revocación de llave, mando o barrera, pero todavía no envía órdenes a un proveedor real de control de accesos. Del mismo modo, la fianza se controla como importe retenido y separado, pero no existe aún una preautorización bancaria real.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EAF2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4E7563"/>
                <w:sz w:val="18"/>
              </w:rPr>
              <w:t>ESTADO DE CORTE</w:t>
            </w:r>
          </w:p>
          <w:p>
            <w:pPr>
              <w:spacing w:after="0" w:line="269" w:lineRule="auto"/>
            </w:pPr>
            <w:r>
              <w:t>10 mejoras documentadas como entregadas. 2 evoluciones directas de E‑mejoras siguen pendientes de proveedor: barrera/cerradura física y preautorización de fianza. El roadmap general añade seguridad, concurrencia, observabilidad, pagos, onboarding real y despliegue autorizado.</w:t>
            </w:r>
          </w:p>
        </w:tc>
      </w:tr>
    </w:tbl>
    <w:p>
      <w:pPr>
        <w:pStyle w:val="Heading2"/>
        <w:keepNext/>
      </w:pPr>
      <w:r>
        <w:t>1.1 Matriz de cambios entregados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12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Mejora</w:t>
            </w:r>
          </w:p>
        </w:tc>
        <w:tc>
          <w:tcPr>
            <w:tcW w:type="dxa" w:w="2412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Estado</w:t>
            </w:r>
          </w:p>
        </w:tc>
        <w:tc>
          <w:tcPr>
            <w:tcW w:type="dxa" w:w="2412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Pantalla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E‑01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Acceso directo al gestor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Web pública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E‑02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Paleta semántica de estados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Planning y tema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E‑03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Medias jornadas en planning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Entradas/salidas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E‑04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Filtros, grupos y contadores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Planning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E‑05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Reasignación con reprecificación segura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 / REVALIDADO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Planning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E‑06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Plano operativo rediseñado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Plano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E‑07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Llegadas con preparación y búsqueda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Recepción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E‑08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Matrícula, ETA y credencial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Ficha de reserva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E‑09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Fianza separada y bloqueos de entrada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Recepción/pagos</w:t>
            </w:r>
          </w:p>
        </w:tc>
      </w:tr>
      <w:tr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24343B"/>
                <w:sz w:val="16"/>
              </w:rPr>
              <w:t>E‑10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Check‑in y acceso auditado</w:t>
            </w:r>
          </w:p>
        </w:tc>
        <w:tc>
          <w:tcPr>
            <w:tcW w:type="dxa" w:w="2412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ENTREGADO</w:t>
            </w:r>
          </w:p>
        </w:tc>
        <w:tc>
          <w:tcPr>
            <w:tcW w:type="dxa" w:w="2412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Recepción</w:t>
            </w:r>
          </w:p>
        </w:tc>
      </w:tr>
    </w:tbl>
    <w:p>
      <w:pPr>
        <w:pStyle w:val="Heading2"/>
        <w:keepNext/>
      </w:pPr>
      <w:r>
        <w:t>1.2 Evidencia técnica verificada</w:t>
      </w:r>
    </w:p>
    <w:p>
      <w:pPr>
        <w:pStyle w:val="ListBullet"/>
      </w:pPr>
      <w:r>
        <w:t>Commits de la rama: 17ea020 (flujo de recepción E‑mejoras), 571cbcc (acceso directo) y cb0e899 (acceso, fianza y cierre visual).</w:t>
      </w:r>
    </w:p>
    <w:p>
      <w:pPr>
        <w:pStyle w:val="ListBullet"/>
      </w:pPr>
      <w:r>
        <w:t>Migraciones aditivas 0008 y 0009 para datos de llegada, fianza y acceso, sin eliminar campos previos.</w:t>
      </w:r>
    </w:p>
    <w:p>
      <w:pPr>
        <w:pStyle w:val="ListBullet"/>
      </w:pPr>
      <w:r>
        <w:t>Pruebas relevantes ejecutadas de forma aislada: API 289, dashboard 70 y UI 57; además, build de producción del dashboard.</w:t>
      </w:r>
    </w:p>
    <w:p>
      <w:pPr>
        <w:pStyle w:val="ListBullet"/>
      </w:pPr>
      <w:r>
        <w:t>El check global del monorepo sufrió timeouts ambientales durante ejecución concurrente; no se presenta como fallo funcional de estas suites ni como validación global perfecta.</w:t>
      </w:r>
    </w:p>
    <w:p>
      <w:r>
        <w:br w:type="page"/>
      </w:r>
    </w:p>
    <w:p>
      <w:pPr>
        <w:pStyle w:val="Heading1"/>
        <w:keepNext/>
      </w:pPr>
      <w:r>
        <w:t>2. Cambios realizados por las sugerencias E‑mejoras</w:t>
      </w:r>
    </w:p>
    <w:p>
      <w:r>
        <w:t>Cada ficha incluye la sugerencia, lo entregado, el efecto operativo y la trazabilidad. La captura se tomó contra la rama de trabajo con los servidores locales activos.</w:t>
      </w:r>
    </w:p>
    <w:p>
      <w:pPr>
        <w:pStyle w:val="Heading2"/>
        <w:keepNext/>
      </w:pPr>
      <w:r>
        <w:t>E‑01 · Acceso directo al gestor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Eliminar el rodeo para llegar al panel de administración.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añadió en la franja superior de la web pública el enlace “Abrir el gestor del camping →”, dirigido a /demos/pinadamar/gestion/.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El socio o recepcionista entra al gestor en un clic, manteniendo visible que se trata de una demo ficticia.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Enlace visible y navegable desde la portada de Pinada del Mar.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Commit 571cbcc; contenido público en español y ruta del gestor del tenant.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" name="Picture 1" descr="Web pública de Pinada del Mar con enlace “Abrir el gestor del camping”." title="Captura 1. Aviso superior de la web pública con acceso directo al gest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cceso-direc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1. Aviso superior de la web pública con acceso directo al gestor.</w:t>
      </w:r>
    </w:p>
    <w:p>
      <w:r>
        <w:br w:type="page"/>
      </w:r>
    </w:p>
    <w:p>
      <w:pPr>
        <w:pStyle w:val="Heading2"/>
        <w:keepNext/>
      </w:pPr>
      <w:r>
        <w:t>E‑02 · Paleta semántica de estados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Diferenciar estados sin colores agresivos ni pérdida de legibilidad.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suavizaron superficies, bordes y etiquetas semánticas; se cubrieron variantes clara y oscura con comprobaciones de contraste AA.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Recepción identifica confirmadas, pendientes y estancias activas con menos ruido visual.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Estados visibles en el planning y consistentes con el resto del dashboard.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Commit 17ea020 y cierre de tema en cb0e899; tests de contraste claro/oscuro.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 descr="Planning mensual mostrando la nueva jerarquía cromática." title="Captura 2. Planning en tema claro con estados reconocibles y contraste sua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leta-estado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2. Planning en tema claro con estados reconocibles y contraste suave.</w:t>
      </w:r>
    </w:p>
    <w:p>
      <w:r>
        <w:br w:type="page"/>
      </w:r>
    </w:p>
    <w:p>
      <w:pPr>
        <w:pStyle w:val="Heading2"/>
        <w:keepNext/>
      </w:pPr>
      <w:r>
        <w:t>E‑03 · Medias jornadas en el planning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Representar correctamente el día compartido entre una salida y una nueva entrada.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La celda distingue la mitad izquierda para check‑out y la derecha para check‑in, evitando interpretar el día como completamente ocupado.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visualiza mejor la rotación de una unidad y se reducen dudas al reasignar una llegada al mismo día.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La geometría de las barras conserva los límites de llegada y salida en vistas de semana, mes y temporada.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Lógica de Planning y configuración de escala actualizadas en 17ea020.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 descr="Planning mensual con celdas y barras de estancia." title="Captura 3. Planning mensual preparado para representar salida y entrada en la misma fech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paleta-estados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3. Planning mensual preparado para representar salida y entrada en la misma fecha.</w:t>
      </w:r>
    </w:p>
    <w:p>
      <w:r>
        <w:br w:type="page"/>
      </w:r>
    </w:p>
    <w:p>
      <w:pPr>
        <w:pStyle w:val="Heading2"/>
        <w:keepNext/>
      </w:pPr>
      <w:r>
        <w:t>E‑04 · Filtros rápidos, grupos plegables y contadores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Reducir el tiempo para localizar inventario relevante en un planning grande.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incorporaron accesos rápidos Parcelas, Alojamientos y Disponibles hoy; grupos plegables por tipo; y contadores ocupadas/total.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El usuario acota el tablero sin formular búsquedas complejas y conoce la carga de cada familia de unidades.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Los filtros se combinan con tipo, estado y búsqueda; los grupos mantienen su contador al plegarse.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UI de Planning y textos i18n en 17ea020.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4" name="Picture 4" descr="Planning filtrado a parcelas con cabecera de grupo." title="Captura 4. Filtro “Parcelas” activo y grupo de inventario plegado con ocup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ltros-grupo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4. Filtro “Parcelas” activo y grupo de inventario plegado con ocupación.</w:t>
      </w:r>
    </w:p>
    <w:p>
      <w:r>
        <w:br w:type="page"/>
      </w:r>
    </w:p>
    <w:p>
      <w:pPr>
        <w:pStyle w:val="Heading2"/>
        <w:keepNext/>
      </w:pPr>
      <w:r>
        <w:t>E‑05 · Reasignación y precio protegidos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Mantener el arrastre operativo sin aplicar cambios de precio de forma silenciosa.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preservaron mover, reasignar y redimensionar; cuando cambia el precio se exige confirmación, y un error revierte la operación.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Recepción conserva velocidad de uso sin perder control económico ni dejar la interfaz desincronizada.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Movimiento válido persiste; cambio de precio abre confirmación; cancelación o error restaura el estado anterior.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Flujo DnD existente revalidado dentro del cambio 17ea020; no se atribuye como funcionalidad creada desde cero.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5" name="Picture 5" descr="Planning filtrado utilizado para mover o redimensionar reservas." title="Captura 5. Contexto de planning donde se mantienen movimientos y reasignacion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ltros-grupos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5. Contexto de planning donde se mantienen movimientos y reasignaciones.</w:t>
      </w:r>
    </w:p>
    <w:p>
      <w:r>
        <w:br w:type="page"/>
      </w:r>
    </w:p>
    <w:p>
      <w:pPr>
        <w:pStyle w:val="Heading2"/>
        <w:keepNext/>
      </w:pPr>
      <w:r>
        <w:t>E‑06 · Plano operativo rediseñado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Hacer el mapa más reconocible y útil para orientar a recepción y cliente.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añadieron zonas, líneas centrales de calles, patrones de pinos y agua, olas, rótulos, norte, acceso y servicios; se mantuvieron zoom, desplazamiento y teclado.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El recinto deja de parecer una cuadrícula abstracta y permite explicar ubicaciones con referencias visuales.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Unidades siguen siendo seleccionables; los controles de navegación no pierden funcionalidad.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Rediseño visual y pruebas de interacción cerrados en cb0e899.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6" name="Picture 6" descr="Vista Plano de Pinada del Mar." title="Captura 6. Plano con zonas, caminos, vegetación, agua, servicios, acceso y orientació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lano-redisenad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6. Plano con zonas, caminos, vegetación, agua, servicios, acceso y orientación.</w:t>
      </w:r>
    </w:p>
    <w:p>
      <w:r>
        <w:br w:type="page"/>
      </w:r>
    </w:p>
    <w:p>
      <w:pPr>
        <w:pStyle w:val="Heading2"/>
        <w:keepNext/>
      </w:pPr>
      <w:r>
        <w:t>E‑07 · Llegadas con preparación, búsqueda y filtros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Saber quién puede entrar y quién requiere atención antes de abrir cada reserva.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La lista busca por apellido, referencia y matrícula normalizada; filtra Todos, Express, Pendiente pago y Retrasados; y calcula Preparada, Revisar o Bloqueada con motivos.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Recepción prioriza por ETA, identifica bloqueos y puede retrasar una llegada una hora o abrir WhatsApp cuando existe teléfono válido.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Orden por ETA; estado y motivos visibles; búsqueda tolerante a formato de matrícula; check‑in deshabilitado si hay bloqueos.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Llegadas, API y esquemas modificados en 17ea020.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7" name="Picture 7" descr="Pantalla Llegadas del 21 de agosto." title="Captura 7. Lista diaria con estados de preparación, filtros rápidos y accion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legadas-preparacio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7. Lista diaria con estados de preparación, filtros rápidos y acciones.</w:t>
      </w:r>
    </w:p>
    <w:p>
      <w:r>
        <w:br w:type="page"/>
      </w:r>
    </w:p>
    <w:p>
      <w:pPr>
        <w:pStyle w:val="Heading2"/>
        <w:keepNext/>
      </w:pPr>
      <w:r>
        <w:t>E‑08 · Matrícula, ETA y credencial de acceso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Preparar la llegada con los datos que recepción necesita en el momento real de entrada.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La ficha guarda matrícula normalizada, ETA y una credencial descriptiva de acceso: llave, mando o código.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Los datos dejan de estar en notas libres y pasan a formar parte del flujo de preparación y sus bloqueos.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Los campos se editan y persisten; la credencial es obligatoria para habilitar el check‑in.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Migración 0008, esquemas/API y BookingPanel en 17ea020 y cb0e899.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8" name="Picture 8" descr="Panel de la reserva PM‑26‑0005 antes del check‑in." title="Captura 8. Ficha de llegada con matrícula, hora estimada y llave/mando/códig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tos-llegada-acces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8. Ficha de llegada con matrícula, hora estimada y llave/mando/código.</w:t>
      </w:r>
    </w:p>
    <w:p>
      <w:r>
        <w:br w:type="page"/>
      </w:r>
    </w:p>
    <w:p>
      <w:pPr>
        <w:pStyle w:val="Heading2"/>
        <w:keepNext/>
      </w:pPr>
      <w:r>
        <w:t>E‑09 · Fianza separada de ingresos y bloqueos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Evitar que la fianza se contabilice como ingreso y que se haga check‑in sin garantías.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Se registra importe requerido, retenido y devuelto, con fechas de auditoría. El check‑in exige saldo cero, fianza completa y credencial asignada.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Recepción ve exactamente qué falta; contabilidad no mezcla garantía temporal con facturación de la estancia.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Retener/devolver no altera paidCents; los tres bloqueos aparecen como motivos independientes.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Migración 0009, endpoints de fianza y pruebas API/dashboard en cb0e899.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9" name="Picture 9" descr="Panel de recepción con saldo, fianza y acceso pendientes." title="Captura 9. Control de fianza y motivos que impiden confirmar la entrada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datos-llegada-acces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9. Control de fianza y motivos que impiden confirmar la entrada.</w:t>
      </w:r>
    </w:p>
    <w:p>
      <w:r>
        <w:br w:type="page"/>
      </w:r>
    </w:p>
    <w:p>
      <w:pPr>
        <w:pStyle w:val="Heading2"/>
        <w:keepNext/>
      </w:pPr>
      <w:r>
        <w:t>E‑10 · Check‑in y acceso auditable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Sugerencia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Vincular la entrada efectiva con la habilitación y posterior revocación del acceso.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Entregado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Al confirmar se registra check‑in y accessGrantedAt; la ficha muestra la credencial habilitada. Check‑out o deshacer entrada revocan el acceso y dejan traza.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Efecto operativo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Existe una secuencia operativa verificable y reversible, sin confundir “tener una llave anotada” con “haber autorizado el acceso”.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Evidencia funcional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Confirmación explícita; estado En casa; fecha de entrada; acceso visible; revocación en salida o deshacer.</w:t>
            </w:r>
          </w:p>
        </w:tc>
      </w:tr>
      <w:tr>
        <w:tc>
          <w:tcPr>
            <w:tcW w:type="dxa" w:w="4824"/>
            <w:vAlign w:val="center"/>
            <w:shd w:fill="EAF1F4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94E63"/>
                <w:sz w:val="17"/>
              </w:rPr>
              <w:t>Trazabilidad</w:t>
            </w:r>
          </w:p>
        </w:tc>
        <w:tc>
          <w:tcPr>
            <w:tcW w:type="dxa" w:w="48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API/admin, BookingPanel, demo handlers y auditoría cerrados en cb0e899.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10" name="Picture 10" descr="Panel posterior al check‑in de PM‑26‑0005." title="Captura 10. Reserva “En casa” con acceso habilitado y acciones de check‑out o deshace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heckin-acceso-auditabl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jc w:val="center"/>
      </w:pPr>
      <w:r>
        <w:t>Captura 10. Reserva “En casa” con acceso habilitado y acciones de check‑out o deshacer.</w:t>
      </w:r>
    </w:p>
    <w:p>
      <w:r>
        <w:br w:type="page"/>
      </w:r>
    </w:p>
    <w:p>
      <w:pPr>
        <w:pStyle w:val="Heading1"/>
        <w:keepNext/>
      </w:pPr>
      <w:r>
        <w:t>3. Pendientes directos de E‑mejoras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EAF2EE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4E7563"/>
                <w:sz w:val="18"/>
              </w:rPr>
              <w:t>LÍMITE DE LA ENTREGA</w:t>
            </w:r>
          </w:p>
          <w:p>
            <w:pPr>
              <w:spacing w:after="0" w:line="269" w:lineRule="auto"/>
            </w:pPr>
            <w:r>
              <w:t>La experiencia de recepción está completa a nivel de aplicación. Lo que falta para un “100 % real” es conectar esa experiencia con servicios externos: hardware de acceso y pasarela bancaria para preautorizar la fianza.</w:t>
            </w:r>
          </w:p>
        </w:tc>
      </w:tr>
    </w:tbl>
    <w:p>
      <w:pPr>
        <w:pStyle w:val="Heading2"/>
        <w:keepNext/>
      </w:pPr>
      <w:r>
        <w:t>3.1 Integraciones y evolución operativa</w:t>
      </w:r>
    </w:p>
    <w:p>
      <w:pPr>
        <w:pStyle w:val="Heading3"/>
        <w:keepNext/>
      </w:pPr>
      <w:r>
        <w:t>E‑P1 · Integración con barrera, cerradura o proveedor de acceso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EXTERNO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Elegir proveedor, disponer de sandbox/credenciales y contrato técnico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Después de contratar proveedor; antes del primer cliente que exija acceso automático.</w:t>
            </w:r>
          </w:p>
        </w:tc>
      </w:tr>
    </w:tbl>
    <w:p>
      <w:r>
        <w:rPr>
          <w:b/>
        </w:rPr>
        <w:t xml:space="preserve">Alcance detallado: </w:t>
      </w:r>
      <w:r>
        <w:t>Definir un adaptador por proveedor; mapear alta, habilitación, revocación y consulta; enviar órdenes idempotentes; registrar request/response sin secretos; reintentar con cola durable; admitir apertura manual y modo offline; revocar en check‑out y al deshacer entrada; presentar estado real en la ficha.</w:t>
      </w:r>
    </w:p>
    <w:p>
      <w:r>
        <w:rPr>
          <w:b/>
        </w:rPr>
        <w:t xml:space="preserve">Criterio de terminado: </w:t>
      </w:r>
      <w:r>
        <w:t>Prueba de extremo a extremo en sandbox: un check‑in habilita exactamente una vez, un reintento no duplica, una caída queda pendiente y recuperable, y check‑out revoca. Auditoría incluye actor, reserva, unidad, credencial, proveedor, fecha y resultado.</w:t>
      </w:r>
    </w:p>
    <w:p>
      <w:r>
        <w:rPr>
          <w:b/>
        </w:rPr>
        <w:t xml:space="preserve">Riesgo si se pospone: </w:t>
      </w:r>
      <w:r>
        <w:t>El panel puede afirmar “acceso habilitado” como estado administrativo, pero no puede garantizar que el dispositivo físico haya recibido la orden.</w:t>
      </w:r>
    </w:p>
    <w:p>
      <w:pPr>
        <w:pStyle w:val="Heading3"/>
        <w:keepNext/>
      </w:pPr>
      <w:r>
        <w:t>E‑P2 · Preautorización bancaria real de fianza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EXTERNO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Redsys/Stripe sandbox, modalidad compatible y decisión contable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Después de endurecer idempotencia del ledger; antes de vender “fianza automatizada”.</w:t>
            </w:r>
          </w:p>
        </w:tc>
      </w:tr>
    </w:tbl>
    <w:p>
      <w:r>
        <w:rPr>
          <w:b/>
        </w:rPr>
        <w:t xml:space="preserve">Alcance detallado: </w:t>
      </w:r>
      <w:r>
        <w:t>Crear autorización independiente del cobro de estancia; guardar referencia/token, nunca datos de tarjeta; soportar autorizar, capturar parcial, liberar y expirar; conciliar webhooks; reintentar de forma idempotente; modelar fallos y acción manual; reflejar importes y estado en recepción.</w:t>
      </w:r>
    </w:p>
    <w:p>
      <w:r>
        <w:rPr>
          <w:b/>
        </w:rPr>
        <w:t xml:space="preserve">Criterio de terminado: </w:t>
      </w:r>
      <w:r>
        <w:t>Sandbox demuestra autorización, rechazo, liberación total, captura parcial, webhook repetido y conciliación. Ninguna operación modifica ingresos salvo captura explícita aprobada.</w:t>
      </w:r>
    </w:p>
    <w:p>
      <w:r>
        <w:rPr>
          <w:b/>
        </w:rPr>
        <w:t xml:space="preserve">Riesgo si se pospone: </w:t>
      </w:r>
      <w:r>
        <w:t>La retención seguirá dependiendo de una comprobación manual y no inmovilizará fondos reales.</w:t>
      </w:r>
    </w:p>
    <w:p>
      <w:pPr>
        <w:pStyle w:val="Heading3"/>
        <w:keepNext/>
      </w:pPr>
      <w:r>
        <w:t>E‑P3 · Inventario y unicidad de credenciales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RECOMENDADO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Decisión de producto y datos reales de recepción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Validar primero con un camping real; no construir por anticipado.</w:t>
            </w:r>
          </w:p>
        </w:tc>
      </w:tr>
    </w:tbl>
    <w:p>
      <w:r>
        <w:rPr>
          <w:b/>
        </w:rPr>
        <w:t xml:space="preserve">Alcance detallado: </w:t>
      </w:r>
      <w:r>
        <w:t>Convertir el texto libre de llave/mando/código en inventario asignable cuando exista volumen: identificador, tipo, estado, depósito asociado, disponibilidad, pérdida, sustitución y mantenimiento. Evitar dos reservas activas con la misma credencial física.</w:t>
      </w:r>
    </w:p>
    <w:p>
      <w:r>
        <w:rPr>
          <w:b/>
        </w:rPr>
        <w:t xml:space="preserve">Criterio de terminado: </w:t>
      </w:r>
      <w:r>
        <w:t>Asignación atómica; búsqueda por credencial; bloqueo de duplicados; historial completo; devolución exigible en salida; exportación de incidencias.</w:t>
      </w:r>
    </w:p>
    <w:p>
      <w:r>
        <w:rPr>
          <w:b/>
        </w:rPr>
        <w:t xml:space="preserve">Riesgo si se pospone: </w:t>
      </w:r>
      <w:r>
        <w:t>El texto libre es suficiente para la demo, pero escala peor y permite duplicidades humanas.</w:t>
      </w:r>
    </w:p>
    <w:p>
      <w:pPr>
        <w:pStyle w:val="Heading1"/>
        <w:keepNext/>
      </w:pPr>
      <w:r>
        <w:t>4. Roadmap ultra detallado de mejoras pendientes</w:t>
      </w:r>
    </w:p>
    <w:p>
      <w:r>
        <w:t>El orden propuesto respeta el roadmap vigente: primero integridad y seguridad local; después integraciones en sandbox; luego onboarding y despliegue real. Las tareas condicionadas no deben ejecutarse sin la señal indicada.</w:t>
      </w:r>
    </w:p>
    <w:p>
      <w:pPr>
        <w:pStyle w:val="Heading2"/>
        <w:keepNext/>
      </w:pPr>
      <w:r>
        <w:t>4.1 Prioridad P0 · seguridad e integridad local</w:t>
      </w:r>
    </w:p>
    <w:p>
      <w:pPr>
        <w:pStyle w:val="Heading3"/>
        <w:keepNext/>
      </w:pPr>
      <w:r>
        <w:t>P0‑01 · Capacidad fuerte para autogestión pública de reservas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NO INICIADO · P0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Ninguna credencial externa; trabajo local autorizado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1 · Primera ejecución pendiente del roadmap local.</w:t>
            </w:r>
          </w:p>
        </w:tc>
      </w:tr>
    </w:tbl>
    <w:p>
      <w:r>
        <w:rPr>
          <w:b/>
        </w:rPr>
        <w:t xml:space="preserve">Alcance detallado: </w:t>
      </w:r>
      <w:r>
        <w:t>Sustituir código de seis dígitos + email en URL por una capacidad aleatoria de al menos 80 bits. Enviar la capacidad en POST JSON; impedir email o credenciales en URL, historial, logs y Referer; mantener recuperación, cancelación, cambios y reintento de pago en seis idiomas; responder Cache-Control: no-store; conservar rate limiting y aislamiento de tenant; diseñar migración de reservas antiguas.</w:t>
      </w:r>
    </w:p>
    <w:p>
      <w:r>
        <w:rPr>
          <w:b/>
        </w:rPr>
        <w:t xml:space="preserve">Criterio de terminado: </w:t>
      </w:r>
      <w:r>
        <w:t>Tests de entropía, colisión, lookup, ausencia de PII en URL/log, cabeceras de caché, tenant isolation y compatibilidad migratoria. QA real de /reserva a 375 px y 1366 px contra Worker + D1.</w:t>
      </w:r>
    </w:p>
    <w:p>
      <w:r>
        <w:rPr>
          <w:b/>
        </w:rPr>
        <w:t xml:space="preserve">Riesgo si se pospone: </w:t>
      </w:r>
      <w:r>
        <w:t>El esquema actual facilita exposición de identificadores y correo en superficies que no controla la aplicación.</w:t>
      </w:r>
    </w:p>
    <w:p>
      <w:pPr>
        <w:pStyle w:val="Heading3"/>
        <w:keepNext/>
      </w:pPr>
      <w:r>
        <w:t>P0‑02 · Ledger manual y reembolsos idempotentes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NO INICIADO · P0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Trabajo local; coordinar modelo de datos y API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2 · Antes de preautorización y de pruebas reales de pagos.</w:t>
            </w:r>
          </w:p>
        </w:tc>
      </w:tr>
    </w:tbl>
    <w:p>
      <w:r>
        <w:rPr>
          <w:b/>
        </w:rPr>
        <w:t xml:space="preserve">Alcance detallado: </w:t>
      </w:r>
      <w:r>
        <w:t>Eliminar la carrera read/write de recordManualPayment y executeRefund. Exigir Idempotency-Key o claim único; derivar saldo desde ledger o usar guardia atómica en base de datos; garantizar una sola llamada externa; definir sustitución de intentos sin mezclarla con la capacidad pública; modelar estados pending/succeeded/failed/reversed.</w:t>
      </w:r>
    </w:p>
    <w:p>
      <w:r>
        <w:rPr>
          <w:b/>
        </w:rPr>
        <w:t xml:space="preserve">Criterio de terminado: </w:t>
      </w:r>
      <w:r>
        <w:t>Test Promise.all con solicitudes duplicadas y concurrentes: un único asiento, un único efecto externo, saldo consistente, reintento determinista y respuesta estable para la misma clave.</w:t>
      </w:r>
    </w:p>
    <w:p>
      <w:r>
        <w:rPr>
          <w:b/>
        </w:rPr>
        <w:t xml:space="preserve">Riesgo si se pospone: </w:t>
      </w:r>
      <w:r>
        <w:t>Una doble pulsación, retry de red o webhook repetido puede duplicar cobros/reembolsos o dejar el saldo incoherente.</w:t>
      </w:r>
    </w:p>
    <w:p>
      <w:pPr>
        <w:pStyle w:val="Heading2"/>
        <w:keepNext/>
      </w:pPr>
      <w:r>
        <w:t>4.2 Integraciones R12 · proveedores y operación real</w:t>
      </w:r>
    </w:p>
    <w:p>
      <w:pPr>
        <w:pStyle w:val="Heading3"/>
        <w:keepNext/>
      </w:pPr>
      <w:r>
        <w:t>R12‑01 · Correo transaccional real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CREDENCIALES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Cuenta Resend, dominios remitentes y autorización de envío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3 · En paralelo con pagos sandbox cuando existan credenciales.</w:t>
            </w:r>
          </w:p>
        </w:tc>
      </w:tr>
    </w:tbl>
    <w:p>
      <w:r>
        <w:rPr>
          <w:b/>
        </w:rPr>
        <w:t xml:space="preserve">Alcance detallado: </w:t>
      </w:r>
      <w:r>
        <w:t>Verificar Resend y plantillas React Email en sandbox/cuenta; configurar SPF, DKIM y dominio remitente; validar remitente por tenant; revisar supresión, rebotes y trazabilidad; mantener texto plano funcional. Migrar a diseño rico solo si existe necesidad comercial.</w:t>
      </w:r>
    </w:p>
    <w:p>
      <w:r>
        <w:rPr>
          <w:b/>
        </w:rPr>
        <w:t xml:space="preserve">Criterio de terminado: </w:t>
      </w:r>
      <w:r>
        <w:t>Correo de reserva, recuperación y operación llega a destinos de prueba; rebote queda registrado; no se filtra PII en logs; fallback y reintento documentados.</w:t>
      </w:r>
    </w:p>
    <w:p>
      <w:r>
        <w:rPr>
          <w:b/>
        </w:rPr>
        <w:t xml:space="preserve">Riesgo si se pospone: </w:t>
      </w:r>
      <w:r>
        <w:t>Sin dominio verificado, la entrega y reputación no son demostrables.</w:t>
      </w:r>
    </w:p>
    <w:p>
      <w:pPr>
        <w:pStyle w:val="Heading3"/>
        <w:keepNext/>
      </w:pPr>
      <w:r>
        <w:t>R12‑02 · Stripe y Redsys en sandbox con conciliación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CREDENCIALES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Cuentas sandbox, contratos y payloads autorizados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4 · Tras P0‑02.</w:t>
            </w:r>
          </w:p>
        </w:tc>
      </w:tr>
    </w:tbl>
    <w:p>
      <w:r>
        <w:rPr>
          <w:b/>
        </w:rPr>
        <w:t xml:space="preserve">Alcance detallado: </w:t>
      </w:r>
      <w:r>
        <w:t>Probar creación de intento, autorización, confirmación, cancelación, reembolso y webhook. Incorporar reconciliación, retry, reemplazo de intentos y verificación terminal de versión SHA‑256/512 para Redsys. Revisar payload real y secretos por tenant.</w:t>
      </w:r>
    </w:p>
    <w:p>
      <w:r>
        <w:rPr>
          <w:b/>
        </w:rPr>
        <w:t xml:space="preserve">Criterio de terminado: </w:t>
      </w:r>
      <w:r>
        <w:t>Casos aprobados, rechazados, 3DS, timeout, webhook duplicado y fuera de orden; conciliación reproduce saldo; rollback operativo; evidencia con referencias sandbox.</w:t>
      </w:r>
    </w:p>
    <w:p>
      <w:r>
        <w:rPr>
          <w:b/>
        </w:rPr>
        <w:t xml:space="preserve">Riesgo si se pospone: </w:t>
      </w:r>
      <w:r>
        <w:t>El comportamiento de una pasarela no puede validarse solo con mocks.</w:t>
      </w:r>
    </w:p>
    <w:p>
      <w:pPr>
        <w:pStyle w:val="Heading3"/>
        <w:keepNext/>
      </w:pPr>
      <w:r>
        <w:t>R12‑03 · Analytics, Sentry y Logpush con privacidad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TOKEN REAL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Tokens, consentimiento y decisión de retención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5 · Antes o junto al primer despliegue autorizado.</w:t>
            </w:r>
          </w:p>
        </w:tc>
      </w:tr>
    </w:tbl>
    <w:p>
      <w:r>
        <w:rPr>
          <w:b/>
        </w:rPr>
        <w:t xml:space="preserve">Alcance detallado: </w:t>
      </w:r>
      <w:r>
        <w:t>Activar Cloudflare Web Analytics y Sentry/Logpush; integrar consentimiento; muestrear eventos; filtrar PII y secretos; definir entornos, releases y alertas; relacionar errores con versión y tenant sin registrar datos del huésped.</w:t>
      </w:r>
    </w:p>
    <w:p>
      <w:r>
        <w:rPr>
          <w:b/>
        </w:rPr>
        <w:t xml:space="preserve">Criterio de terminado: </w:t>
      </w:r>
      <w:r>
        <w:t>Panel recibe tráfico autorizado; error sintético genera alerta; scrubber elimina email, documento, teléfono y tokens; runbook indica propietario y respuesta.</w:t>
      </w:r>
    </w:p>
    <w:p>
      <w:r>
        <w:rPr>
          <w:b/>
        </w:rPr>
        <w:t xml:space="preserve">Riesgo si se pospone: </w:t>
      </w:r>
      <w:r>
        <w:t>Sin observabilidad real no se pueden probar SLO, diagnosticar producción ni justificar mejoras de rendimiento.</w:t>
      </w:r>
    </w:p>
    <w:p>
      <w:pPr>
        <w:pStyle w:val="Heading3"/>
        <w:keepNext/>
      </w:pPr>
      <w:r>
        <w:t>R12‑04 · Cloudflare Queues para reintentos durables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CONDICIONADO A VOLUMEN/FALLOS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Tráfico real o evidencia de fallos transitorios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6 · Activar al observar necesidad o al integrar acceso físico.</w:t>
            </w:r>
          </w:p>
        </w:tc>
      </w:tr>
    </w:tbl>
    <w:p>
      <w:r>
        <w:rPr>
          <w:b/>
        </w:rPr>
        <w:t xml:space="preserve">Alcance detallado: </w:t>
      </w:r>
      <w:r>
        <w:t>Mover envíos y llamadas externas sensibles a colas durables; definir idempotencia, backoff, máximo de intentos, dead-letter queue, replay autorizado y métricas. No añadir complejidad si el volumen todavía no lo justifica.</w:t>
      </w:r>
    </w:p>
    <w:p>
      <w:r>
        <w:rPr>
          <w:b/>
        </w:rPr>
        <w:t xml:space="preserve">Criterio de terminado: </w:t>
      </w:r>
      <w:r>
        <w:t>Una caída temporal no pierde el trabajo; retry no duplica; DLQ es inspeccionable y reejecutable; alertas por acumulación.</w:t>
      </w:r>
    </w:p>
    <w:p>
      <w:r>
        <w:rPr>
          <w:b/>
        </w:rPr>
        <w:t xml:space="preserve">Riesgo si se pospone: </w:t>
      </w:r>
      <w:r>
        <w:t>Los reintentos en memoria o manuales son frágiles cuando aparezca tráfico real.</w:t>
      </w:r>
    </w:p>
    <w:p>
      <w:pPr>
        <w:pStyle w:val="Heading3"/>
        <w:keepNext/>
      </w:pPr>
      <w:r>
        <w:t>R12‑05 · SES.Hospedajes y partes reales de viajeros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LEGAL/EXTERNO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Alta oficial, certificados, formato vigente y asesoramiento legal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7 · Solo con camping y credenciales reales.</w:t>
            </w:r>
          </w:p>
        </w:tc>
      </w:tr>
    </w:tbl>
    <w:p>
      <w:r>
        <w:rPr>
          <w:b/>
        </w:rPr>
        <w:t xml:space="preserve">Alcance detallado: </w:t>
      </w:r>
      <w:r>
        <w:t>Separar el módulo fiscal/policial del núcleo; validar esquema oficial, firma, envío, acuse, subsanación, conservación y permisos. Revisar minimización de datos, cifrado y acceso por rol.</w:t>
      </w:r>
    </w:p>
    <w:p>
      <w:r>
        <w:rPr>
          <w:b/>
        </w:rPr>
        <w:t xml:space="preserve">Criterio de terminado: </w:t>
      </w:r>
      <w:r>
        <w:t>Envío de prueba aceptado por entorno oficial o procedimiento autorizado; acuse enlazado a estancia; reintento no duplica; auditoría y retención aprobadas.</w:t>
      </w:r>
    </w:p>
    <w:p>
      <w:r>
        <w:rPr>
          <w:b/>
        </w:rPr>
        <w:t xml:space="preserve">Riesgo si se pospone: </w:t>
      </w:r>
      <w:r>
        <w:t>Datos legales incompletos o un formato desactualizado pueden impedir operación y aumentar exposición de PII.</w:t>
      </w:r>
    </w:p>
    <w:p>
      <w:pPr>
        <w:pStyle w:val="Heading3"/>
        <w:keepNext/>
      </w:pPr>
      <w:r>
        <w:t>R12‑06 · Canales/OTA y módulos de IA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BLOQUEADO POR DECISIÓN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Aprobación comercial, partner y alcance separado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Después del primer onboarding estable y solo con demanda.</w:t>
            </w:r>
          </w:p>
        </w:tc>
      </w:tr>
    </w:tbl>
    <w:p>
      <w:r>
        <w:rPr>
          <w:b/>
        </w:rPr>
        <w:t xml:space="preserve">Alcance detallado: </w:t>
      </w:r>
      <w:r>
        <w:t>Definir conectores y ownership de inventario, tarifas, restricciones, reservas, modificaciones, cancelaciones y reconciliación. Mantener canales e IA como módulos separados; no contaminar el core ni crear forks verticales.</w:t>
      </w:r>
    </w:p>
    <w:p>
      <w:r>
        <w:rPr>
          <w:b/>
        </w:rPr>
        <w:t xml:space="preserve">Criterio de terminado: </w:t>
      </w:r>
      <w:r>
        <w:t>Contrato por conector, idempotencia, replay, pruebas de conflicto y monitorización; kill switch por tenant; ADR y coste operativo aprobados.</w:t>
      </w:r>
    </w:p>
    <w:p>
      <w:r>
        <w:rPr>
          <w:b/>
        </w:rPr>
        <w:t xml:space="preserve">Riesgo si se pospone: </w:t>
      </w:r>
      <w:r>
        <w:t>Integraciones prematuras expanden soporte y superficie de fallo sin señal de negocio.</w:t>
      </w:r>
    </w:p>
    <w:p>
      <w:r>
        <w:br w:type="page"/>
      </w:r>
    </w:p>
    <w:p>
      <w:pPr>
        <w:pStyle w:val="Heading2"/>
        <w:keepNext/>
      </w:pPr>
      <w:r>
        <w:t>4.3 R13 · primer tenant y despliegue autorizado</w:t>
      </w:r>
    </w:p>
    <w:p>
      <w:pPr>
        <w:pStyle w:val="Heading3"/>
        <w:keepNext/>
      </w:pPr>
      <w:r>
        <w:t>R13‑01 · Onboarding real medido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CLIENTE REAL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Identidad, contenido, inventario, tarifas, dominio y responsables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8 · Primer camping contratado.</w:t>
            </w:r>
          </w:p>
        </w:tc>
      </w:tr>
    </w:tbl>
    <w:p>
      <w:r>
        <w:rPr>
          <w:b/>
        </w:rPr>
        <w:t xml:space="preserve">Alcance detallado: </w:t>
      </w:r>
      <w:r>
        <w:t>Recoger material definitivo; medir tiempo de identidad/contenido, inventario/tarifas y aceptación; resolver unidades, medios, políticas, idiomas y contactos; documentar huecos y decisiones; ejecutar importaciones repetibles.</w:t>
      </w:r>
    </w:p>
    <w:p>
      <w:r>
        <w:rPr>
          <w:b/>
        </w:rPr>
        <w:t xml:space="preserve">Criterio de terminado: </w:t>
      </w:r>
      <w:r>
        <w:t>Checklist firmado; datos conciliados contra fuente del cliente; responsables y tiempos medidos; build y QA sin placeholders ni datos ficticios.</w:t>
      </w:r>
    </w:p>
    <w:p>
      <w:r>
        <w:rPr>
          <w:b/>
        </w:rPr>
        <w:t xml:space="preserve">Riesgo si se pospone: </w:t>
      </w:r>
      <w:r>
        <w:t>La demo no valida la fricción de datos ni el coste real de implantación.</w:t>
      </w:r>
    </w:p>
    <w:p>
      <w:pPr>
        <w:pStyle w:val="Heading3"/>
        <w:keepNext/>
      </w:pPr>
      <w:r>
        <w:t>R13‑02 · Provisionado real de instancia F9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PARCIAL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Slug, dominio, tier, destino, credenciales y auth explícitos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9 · Durante onboarding autorizado.</w:t>
            </w:r>
          </w:p>
        </w:tc>
      </w:tr>
    </w:tbl>
    <w:p>
      <w:r>
        <w:rPr>
          <w:b/>
        </w:rPr>
        <w:t xml:space="preserve">Alcance detallado: </w:t>
      </w:r>
      <w:r>
        <w:t>Ejecutar new:camping --apply solo con parámetros confirmados; crear recursos Cloudflare del tenant; aplicar migraciones; sembrar únicamente datos autorizados; conectar extensiones custom cuando exista la primera personalización real; verificar aislamiento.</w:t>
      </w:r>
    </w:p>
    <w:p>
      <w:r>
        <w:rPr>
          <w:b/>
        </w:rPr>
        <w:t xml:space="preserve">Criterio de terminado: </w:t>
      </w:r>
      <w:r>
        <w:t>Instancia reproducible desde cero; recursos nombrados; secretos fuera de repo; smoke y tenant isolation pasan; procedimiento de rollback probado.</w:t>
      </w:r>
    </w:p>
    <w:p>
      <w:r>
        <w:rPr>
          <w:b/>
        </w:rPr>
        <w:t xml:space="preserve">Riesgo si se pospone: </w:t>
      </w:r>
      <w:r>
        <w:t>F9 permanece parcial porque nunca se ha ejecutado el alta real con Cloudflare y un cliente.</w:t>
      </w:r>
    </w:p>
    <w:p>
      <w:pPr>
        <w:pStyle w:val="Heading3"/>
        <w:keepNext/>
      </w:pPr>
      <w:r>
        <w:t>R13‑03 · Publicación, smoke y rollback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AUTORIZACIÓN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Destino, ventana, responsables y credenciales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10 · Después de R13‑01/02.</w:t>
            </w:r>
          </w:p>
        </w:tc>
      </w:tr>
    </w:tbl>
    <w:p>
      <w:r>
        <w:rPr>
          <w:b/>
        </w:rPr>
        <w:t xml:space="preserve">Alcance detallado: </w:t>
      </w:r>
      <w:r>
        <w:t>Publicar versión autorizada; registrar SHA, migraciones y bundle; ejecutar smoke postdeploy sin reseed, borrado ni repetición destructiva; comprobar web, reserva, gestor, pagos y observabilidad; preparar rollback de código y datos.</w:t>
      </w:r>
    </w:p>
    <w:p>
      <w:r>
        <w:rPr>
          <w:b/>
        </w:rPr>
        <w:t xml:space="preserve">Criterio de terminado: </w:t>
      </w:r>
      <w:r>
        <w:t>Evidencia de versión, migraciones, salud y rutas críticas; rollback ensayado; responsable acepta la demo/producción; no se alteran reservas existentes.</w:t>
      </w:r>
    </w:p>
    <w:p>
      <w:r>
        <w:rPr>
          <w:b/>
        </w:rPr>
        <w:t xml:space="preserve">Riesgo si se pospone: </w:t>
      </w:r>
      <w:r>
        <w:t>Un deploy técnicamente correcto puede fallar por datos, rutas base, secretos o migraciones.</w:t>
      </w:r>
    </w:p>
    <w:p>
      <w:pPr>
        <w:pStyle w:val="Heading3"/>
        <w:keepNext/>
      </w:pPr>
      <w:r>
        <w:t>R13‑04 · Restore remoto y prueba de carga autorizada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PENDIENTE · EXTERNO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Backup remoto, destino de restauración y objetivo de carga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11 · Antes de declarar F11 cerrado.</w:t>
            </w:r>
          </w:p>
        </w:tc>
      </w:tr>
    </w:tbl>
    <w:p>
      <w:r>
        <w:rPr>
          <w:b/>
        </w:rPr>
        <w:t xml:space="preserve">Alcance detallado: </w:t>
      </w:r>
      <w:r>
        <w:t>Restaurar copia en entorno aislado; medir RPO/RTO y consistencia; ejecutar carga solo sobre objetivo autorizado; definir umbrales de latencia/error; identificar cuellos y costes; no usar datos personales sin anonimizar.</w:t>
      </w:r>
    </w:p>
    <w:p>
      <w:r>
        <w:rPr>
          <w:b/>
        </w:rPr>
        <w:t xml:space="preserve">Criterio de terminado: </w:t>
      </w:r>
      <w:r>
        <w:t>Restore verificado por checks de integridad; RPO/RTO registrados; carga reproduce escenarios de navegación, disponibilidad y operación; informe con p95/p99 y errores.</w:t>
      </w:r>
    </w:p>
    <w:p>
      <w:r>
        <w:rPr>
          <w:b/>
        </w:rPr>
        <w:t xml:space="preserve">Riesgo si se pospone: </w:t>
      </w:r>
      <w:r>
        <w:t>Backups no restaurados y rendimiento no medido no constituyen una garantía operativa.</w:t>
      </w:r>
    </w:p>
    <w:p>
      <w:pPr>
        <w:pStyle w:val="Heading2"/>
        <w:keepNext/>
      </w:pPr>
      <w:r>
        <w:t>4.4 R14 · Camp Motor y extensiones comerciales</w:t>
      </w:r>
    </w:p>
    <w:p>
      <w:pPr>
        <w:pStyle w:val="Heading3"/>
        <w:keepNext/>
      </w:pPr>
      <w:r>
        <w:t>R14‑01 · Decisión de entrada a Camp Motor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Estado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Dependencia</w:t>
            </w:r>
          </w:p>
        </w:tc>
        <w:tc>
          <w:tcPr>
            <w:tcW w:type="dxa" w:w="3216"/>
            <w:vAlign w:val="center"/>
            <w:shd w:fill="4E7563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Orden recomendado</w:t>
            </w:r>
          </w:p>
        </w:tc>
      </w:tr>
      <w:tr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VETO ACTIVO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Cliente pagado o decisión explícita de dirección</w:t>
            </w:r>
          </w:p>
        </w:tc>
        <w:tc>
          <w:tcPr>
            <w:tcW w:type="dxa" w:w="3216"/>
            <w:vAlign w:val="center"/>
            <w:shd w:fill="EAF2EE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6"/>
              </w:rPr>
              <w:t>Último · Solo tras levantar el veto.</w:t>
            </w:r>
          </w:p>
        </w:tc>
      </w:tr>
    </w:tbl>
    <w:p>
      <w:r>
        <w:rPr>
          <w:b/>
        </w:rPr>
        <w:t xml:space="preserve">Alcance detallado: </w:t>
      </w:r>
      <w:r>
        <w:t>No construir todavía. Si se aprueba, contratar integración web externa, ownership de disponibilidad/checkout/callbacks, autenticación y soporte. Reutilizar motor, API, pagos y dashboard comunes; toda capacidad nueva requiere evidencia, ADR y tests.</w:t>
      </w:r>
    </w:p>
    <w:p>
      <w:r>
        <w:rPr>
          <w:b/>
        </w:rPr>
        <w:t xml:space="preserve">Criterio de terminado: </w:t>
      </w:r>
      <w:r>
        <w:t>Business case aprobado; alcance, coste y soporte firmados; arquitectura sin fork; seguridad, rendimiento, observabilidad, documentación y operación validados.</w:t>
      </w:r>
    </w:p>
    <w:p>
      <w:r>
        <w:rPr>
          <w:b/>
        </w:rPr>
        <w:t xml:space="preserve">Riesgo si se pospone: </w:t>
      </w:r>
      <w:r>
        <w:t>Abrir un segundo vertical antes de cerrar el primero fragmentaría producto, QA y soporte.</w:t>
      </w:r>
    </w:p>
    <w:p>
      <w:pPr>
        <w:pStyle w:val="Heading2"/>
        <w:keepNext/>
      </w:pPr>
      <w:r>
        <w:t>4.5 Backlog condicionado por señal real</w:t>
      </w:r>
    </w:p>
    <w:p>
      <w:pPr>
        <w:pStyle w:val="ListBullet"/>
      </w:pPr>
      <w:r>
        <w:t>Extensiones custom/: Conectar el registro cuando aparezca la primera personalización de un cliente; exigir interfaz, ownership, tests y upgrade path.</w:t>
      </w:r>
    </w:p>
    <w:p>
      <w:pPr>
        <w:pStyle w:val="ListBullet"/>
      </w:pPr>
      <w:r>
        <w:t>Cache de TenantConfig en KV: Activar únicamente con tráfico que demuestre beneficio; definir invalidación, TTL, versión y fallback a fuente de verdad.</w:t>
      </w:r>
    </w:p>
    <w:p>
      <w:pPr>
        <w:pStyle w:val="ListBullet"/>
      </w:pPr>
      <w:r>
        <w:t>Tema visual adicional del dashboard: Construir solo si usuarios reales expresan valor; evitar coste permanente por preferencia no observada.</w:t>
      </w:r>
    </w:p>
    <w:p>
      <w:pPr>
        <w:pStyle w:val="ListBullet"/>
      </w:pPr>
      <w:r>
        <w:t>Plantillas React Email ricas: Mantener versión simple hasta que marketing o entregabilidad necesiten diseño enriquecido.</w:t>
      </w:r>
    </w:p>
    <w:p>
      <w:pPr>
        <w:pStyle w:val="ListBullet"/>
      </w:pPr>
      <w:r>
        <w:t>Bloque de disponibilidad para visitante demo: Permitirlo únicamente si ventas necesita que un visitante cree reservas; aislar datos y reinicio.</w:t>
      </w:r>
    </w:p>
    <w:p>
      <w:pPr>
        <w:pStyle w:val="ListBullet"/>
      </w:pPr>
      <w:r>
        <w:t>Estado de temporada cerrada: Añadir si la demo o primer cliente lo requiere; definir reservas fuera de temporada y mensajes por idioma.</w:t>
      </w:r>
    </w:p>
    <w:p>
      <w:pPr>
        <w:pStyle w:val="ListBullet"/>
      </w:pPr>
      <w:r>
        <w:t>Cambio de nacionalidad/nombre y alcance post‑12 demo: Priorizar solo con evidencia de uso; revisar impacto legal y de auditoría.</w:t>
      </w:r>
    </w:p>
    <w:p>
      <w:pPr>
        <w:pStyle w:val="ListBullet"/>
      </w:pPr>
      <w:r>
        <w:t>Traducción de documentación: Seleccionar idiomas del cliente; mantener fuente única y control de versiones.</w:t>
      </w:r>
    </w:p>
    <w:p>
      <w:pPr>
        <w:pStyle w:val="ListBullet"/>
      </w:pPr>
      <w:r>
        <w:t>Auditoría encadenada: Añadir hash/encadenado cuando el riesgo o contrato lo exija; definir verificación y exportación.</w:t>
      </w:r>
    </w:p>
    <w:p>
      <w:pPr>
        <w:pStyle w:val="ListBullet"/>
      </w:pPr>
      <w:r>
        <w:t>Movimiento entre tipos de unidad: Diseñar reglas de capacidad, tarifa, inventario, suplementos, consentimiento y comunicación al huésped.</w:t>
      </w:r>
    </w:p>
    <w:p>
      <w:pPr>
        <w:pStyle w:val="ListBullet"/>
      </w:pPr>
      <w:r>
        <w:t>Reintento y sustitución de intentos de pago: Completar tras P0‑02 para evitar intentos huérfanos y dobles cobros.</w:t>
      </w:r>
    </w:p>
    <w:p>
      <w:pPr>
        <w:pStyle w:val="ListBullet"/>
      </w:pPr>
      <w:r>
        <w:t>Producción Lighthouse ≥95: Repetir medición únicamente después de un deploy autorizado, con datos y CDN reales.</w:t>
      </w:r>
    </w:p>
    <w:p>
      <w:pPr>
        <w:pStyle w:val="ListBullet"/>
      </w:pPr>
      <w:r>
        <w:t>Vídeo H1‑V L’Olivar: Esperar créditos de imagen/vídeo ≥21; ejecutar Seedance 2.0, 6 s, 16:9, 720p, cámara fija, sin audio, posters y límites de peso; aceptación en Chromium y recorte móvil.</w:t>
      </w:r>
    </w:p>
    <w:p>
      <w:pPr>
        <w:pStyle w:val="Heading1"/>
        <w:keepNext/>
      </w:pPr>
      <w:r>
        <w:t>5. Orden de ejecución recomendado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Ola</w:t>
            </w:r>
          </w:p>
        </w:tc>
        <w:tc>
          <w:tcPr>
            <w:tcW w:type="dxa" w:w="4824"/>
            <w:vAlign w:val="center"/>
            <w:shd w:fill="194E6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Objetivo y salida</w:t>
            </w:r>
          </w:p>
        </w:tc>
      </w:tr>
      <w:tr>
        <w:tc>
          <w:tcPr>
            <w:tcW w:type="dxa" w:w="4824"/>
            <w:vAlign w:val="center"/>
            <w:shd w:fill="EAF2EE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4E7563"/>
                <w:sz w:val="17"/>
              </w:rPr>
              <w:t>Ola 1 · Cerrar riesgos locales</w:t>
            </w:r>
          </w:p>
        </w:tc>
        <w:tc>
          <w:tcPr>
            <w:tcW w:type="dxa" w:w="48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P0‑01 capacidad de autogestión; P0‑02 idempotencia del ledger. Entrega independiente de proveedores y requisito previo para pagos reales.</w:t>
            </w:r>
          </w:p>
        </w:tc>
      </w:tr>
      <w:tr>
        <w:tc>
          <w:tcPr>
            <w:tcW w:type="dxa" w:w="4824"/>
            <w:vAlign w:val="center"/>
            <w:shd w:fill="EAF2EE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4E7563"/>
                <w:sz w:val="17"/>
              </w:rPr>
              <w:t>Ola 2 · Completar E‑mejoras real</w:t>
            </w:r>
          </w:p>
        </w:tc>
        <w:tc>
          <w:tcPr>
            <w:tcW w:type="dxa" w:w="48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Elegir proveedor de acceso; diseñar adaptador, idempotencia, cola y fallback; integrar preautorización de fianza después del ledger.</w:t>
            </w:r>
          </w:p>
        </w:tc>
      </w:tr>
      <w:tr>
        <w:tc>
          <w:tcPr>
            <w:tcW w:type="dxa" w:w="4824"/>
            <w:vAlign w:val="center"/>
            <w:shd w:fill="EAF2EE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4E7563"/>
                <w:sz w:val="17"/>
              </w:rPr>
              <w:t>Ola 3 · Sandboxes autorizados</w:t>
            </w:r>
          </w:p>
        </w:tc>
        <w:tc>
          <w:tcPr>
            <w:tcW w:type="dxa" w:w="48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Resend, Redsys/Stripe, Analytics/Sentry y, si corresponde, SES.Hospedajes. Cada integración con pruebas de fallo, duplicado, privacidad y runbook.</w:t>
            </w:r>
          </w:p>
        </w:tc>
      </w:tr>
      <w:tr>
        <w:tc>
          <w:tcPr>
            <w:tcW w:type="dxa" w:w="4824"/>
            <w:vAlign w:val="center"/>
            <w:shd w:fill="EAF2EE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4E7563"/>
                <w:sz w:val="17"/>
              </w:rPr>
              <w:t>Ola 4 · Primer cliente</w:t>
            </w:r>
          </w:p>
        </w:tc>
        <w:tc>
          <w:tcPr>
            <w:tcW w:type="dxa" w:w="48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Onboarding medido; instancia --apply; contenido e inventario definitivos; build/E2E/QA; publicación con smoke y rollback; restore y carga autorizados.</w:t>
            </w:r>
          </w:p>
        </w:tc>
      </w:tr>
      <w:tr>
        <w:tc>
          <w:tcPr>
            <w:tcW w:type="dxa" w:w="4824"/>
            <w:vAlign w:val="center"/>
            <w:shd w:fill="EAF2EE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4E7563"/>
                <w:sz w:val="17"/>
              </w:rPr>
              <w:t>Ola 5 · Expansión</w:t>
            </w:r>
          </w:p>
        </w:tc>
        <w:tc>
          <w:tcPr>
            <w:tcW w:type="dxa" w:w="482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24343B"/>
                <w:sz w:val="17"/>
              </w:rPr>
              <w:t>Extensiones, OTA, IA y Camp Motor solo con demanda, contrato y veto levantado.</w:t>
            </w:r>
          </w:p>
        </w:tc>
      </w:tr>
    </w:tbl>
    <w:p>
      <w:pPr>
        <w:pStyle w:val="Heading2"/>
        <w:keepNext/>
      </w:pPr>
      <w:r>
        <w:t>5.1 Definición común de “terminado”</w:t>
      </w:r>
    </w:p>
    <w:p>
      <w:pPr>
        <w:pStyle w:val="ListBullet"/>
      </w:pPr>
      <w:r>
        <w:t>Alcance y criterio de aceptación escritos antes de implementar.</w:t>
      </w:r>
    </w:p>
    <w:p>
      <w:pPr>
        <w:pStyle w:val="ListBullet"/>
      </w:pPr>
      <w:r>
        <w:t>Migración aditiva, reversible o con procedimiento explícito de recuperación.</w:t>
      </w:r>
    </w:p>
    <w:p>
      <w:pPr>
        <w:pStyle w:val="ListBullet"/>
      </w:pPr>
      <w:r>
        <w:t>Permisos por rol y aislamiento de tenant comprobados.</w:t>
      </w:r>
    </w:p>
    <w:p>
      <w:pPr>
        <w:pStyle w:val="ListBullet"/>
      </w:pPr>
      <w:r>
        <w:t>Idempotencia y concurrencia probadas para pagos, acceso y reintentos.</w:t>
      </w:r>
    </w:p>
    <w:p>
      <w:pPr>
        <w:pStyle w:val="ListBullet"/>
      </w:pPr>
      <w:r>
        <w:t>PII y secretos excluidos de URL, logs, errores y analítica.</w:t>
      </w:r>
    </w:p>
    <w:p>
      <w:pPr>
        <w:pStyle w:val="ListBullet"/>
      </w:pPr>
      <w:r>
        <w:t>Estados vacíos, error, carga y recuperación cubiertos en UI.</w:t>
      </w:r>
    </w:p>
    <w:p>
      <w:pPr>
        <w:pStyle w:val="ListBullet"/>
      </w:pPr>
      <w:r>
        <w:t>Pruebas automatizadas relevantes y QA visual a 375/1366 px.</w:t>
      </w:r>
    </w:p>
    <w:p>
      <w:pPr>
        <w:pStyle w:val="ListBullet"/>
      </w:pPr>
      <w:r>
        <w:t>Observabilidad, alerta, propietario y runbook cuando intervenga un proveedor.</w:t>
      </w:r>
    </w:p>
    <w:p>
      <w:pPr>
        <w:pStyle w:val="ListBullet"/>
      </w:pPr>
      <w:r>
        <w:t>Evidencia de sandbox o producción autorizada; no sustituirla por mocks.</w:t>
      </w:r>
    </w:p>
    <w:p>
      <w:pPr>
        <w:pStyle w:val="ListBullet"/>
      </w:pPr>
      <w:r>
        <w:t>Documentación y rollback actualizados antes de cerrar la tarea.</w:t>
      </w:r>
    </w:p>
    <w:p>
      <w:pPr>
        <w:pStyle w:val="Heading2"/>
        <w:keepNext/>
      </w:pPr>
      <w:r>
        <w:t>5.2 Próxima sesión propuesta</w:t>
      </w:r>
    </w:p>
    <w:p>
      <w:pPr>
        <w:pStyle w:val="ListNumber"/>
      </w:pPr>
      <w:r>
        <w:t>Implementar P0‑01 sin mezclarlo con el ledger: capacidad ≥80 bits, POST JSON, no-store, sin PII en URL y migración de reservas antiguas.</w:t>
      </w:r>
    </w:p>
    <w:p>
      <w:pPr>
        <w:pStyle w:val="ListNumber"/>
      </w:pPr>
      <w:r>
        <w:t>Ejecutar sus tests de entropía, lookup, logs, caché, rate limit y aislamiento; completar QA de /reserva en móvil y escritorio contra Worker + D1.</w:t>
      </w:r>
    </w:p>
    <w:p>
      <w:pPr>
        <w:pStyle w:val="ListNumber"/>
      </w:pPr>
      <w:r>
        <w:t>Implementar P0‑02 como cambio separado y someter pagos/reembolsos a pruebas concurrentes Promise.all.</w:t>
      </w:r>
    </w:p>
    <w:p>
      <w:pPr>
        <w:pStyle w:val="ListNumber"/>
      </w:pPr>
      <w:r>
        <w:t>Con los dos P0 cerrados, seleccionar proveedor de barrera y pasarela de fianza; solicitar credenciales sandbox y preparar contratos de integración.</w:t>
      </w:r>
    </w:p>
    <w:p>
      <w:pPr>
        <w:pStyle w:val="ListNumber"/>
      </w:pPr>
      <w:r>
        <w:t>No ejecutar new:camping --apply ni desplegar hasta tener slug, dominio, tier, destino, credenciales, auth y autorización explícita.</w:t>
      </w:r>
    </w:p>
    <w:p>
      <w:pPr>
        <w:pStyle w:val="Heading1"/>
        <w:keepNext/>
      </w:pPr>
      <w:r>
        <w:t>6. Fuentes y trazabilidad</w:t>
      </w:r>
    </w:p>
    <w:p>
      <w:r>
        <w:t>Este informe consolida las sugerencias E‑mejoras, el estado del código y los documentos de ruta existentes. Las instrucciones contenidas en el PDF se trataron como material de requisitos, no como órdenes de ejecución independientes.</w:t>
      </w:r>
    </w:p>
    <w:p>
      <w:pPr>
        <w:pStyle w:val="ListBullet"/>
      </w:pPr>
      <w:r>
        <w:t>Documento de origen: /Users/andreumariner/Downloads/Propuestas Camping.pdf</w:t>
      </w:r>
    </w:p>
    <w:p>
      <w:pPr>
        <w:pStyle w:val="ListBullet"/>
      </w:pPr>
      <w:r>
        <w:t>Roadmap de fases: docs/ROADMAP.md</w:t>
      </w:r>
    </w:p>
    <w:p>
      <w:pPr>
        <w:pStyle w:val="ListBullet"/>
      </w:pPr>
      <w:r>
        <w:t>Backlog vivo y gates: docs/BACKLOG.md</w:t>
      </w:r>
    </w:p>
    <w:p>
      <w:pPr>
        <w:pStyle w:val="ListBullet"/>
      </w:pPr>
      <w:r>
        <w:t>Ruta continua R0–R15: docs/RUTA-DESARROLLO-CONTINUO.md</w:t>
      </w:r>
    </w:p>
    <w:p>
      <w:pPr>
        <w:pStyle w:val="ListBullet"/>
      </w:pPr>
      <w:r>
        <w:t>Próxima sesión P0: docs/SIGUIENTE-SESION.md</w:t>
      </w:r>
    </w:p>
    <w:p>
      <w:pPr>
        <w:pStyle w:val="ListBullet"/>
      </w:pPr>
      <w:r>
        <w:t>Continuidad operativa: docs/CONTINUA.md</w:t>
      </w:r>
    </w:p>
    <w:p>
      <w:pPr>
        <w:pStyle w:val="ListBullet"/>
      </w:pPr>
      <w:r>
        <w:t>Roadmap de temas: docs/ROADMAP-MEJORA-TEMAS.md</w:t>
      </w:r>
    </w:p>
    <w:p>
      <w:pPr>
        <w:pStyle w:val="ListBullet"/>
      </w:pPr>
      <w:r>
        <w:t>Commits: 17ea020, 571cbcc, cb0e899 en codex/e-mejoras</w:t>
      </w:r>
    </w:p>
    <w:p>
      <w:pPr>
        <w:pStyle w:val="ListBullet"/>
      </w:pPr>
      <w:r>
        <w:t>Capturas: web y dashboard locales de Pinada del Mar, tomadas el 21/08/2026.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EAF1F4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4E7563"/>
                <w:sz w:val="18"/>
              </w:rPr>
              <w:t>DECISIÓN RECOMENDADA</w:t>
            </w:r>
          </w:p>
          <w:p>
            <w:pPr>
              <w:spacing w:after="0" w:line="269" w:lineRule="auto"/>
            </w:pPr>
            <w:r>
              <w:t>Dar por cerrada la fase de aplicación de E‑mejoras y abrir dos líneas separadas: (1) P0 de seguridad/integridad local y (2) contratación/validación de proveedor para acceso físico y preautorización. Así se evita confundir una demo operativa completa con una integración externa todavía no contratada.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80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07079"/>
        <w:sz w:val="16"/>
      </w:rPr>
      <w:t xml:space="preserve">E-MEJORAS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libri" w:hAnsi="Calibri"/>
      <w:color w:val="2434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194E6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4E756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4343B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4343B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/>
      <w:b/>
      <w:bCs/>
      <w:i/>
      <w:color w:val="607079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