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4924" w14:textId="77777777" w:rsidR="006A50BB" w:rsidRDefault="00000000">
      <w:pPr>
        <w:spacing w:before="1600" w:after="200"/>
        <w:jc w:val="center"/>
      </w:pPr>
      <w:r>
        <w:rPr>
          <w:b/>
          <w:bCs/>
          <w:sz w:val="28"/>
          <w:szCs w:val="28"/>
        </w:rPr>
        <w:t>DHL Group: Organization Overview and Research Foundation</w:t>
      </w:r>
    </w:p>
    <w:p w14:paraId="178BE72C" w14:textId="77777777" w:rsidR="006A50BB" w:rsidRDefault="00000000">
      <w:pPr>
        <w:spacing w:after="100"/>
        <w:jc w:val="center"/>
      </w:pPr>
      <w:r>
        <w:t>Amar Mohite</w:t>
      </w:r>
    </w:p>
    <w:p w14:paraId="6D30533B" w14:textId="12AA535D" w:rsidR="006A50BB" w:rsidRDefault="00000000">
      <w:pPr>
        <w:spacing w:after="100"/>
        <w:jc w:val="center"/>
      </w:pPr>
      <w:r>
        <w:t xml:space="preserve">MGT/526: Managing </w:t>
      </w:r>
      <w:r w:rsidR="00A85D44">
        <w:t>in a</w:t>
      </w:r>
      <w:r>
        <w:t xml:space="preserve"> </w:t>
      </w:r>
      <w:r w:rsidR="00A85D44">
        <w:t>Changing</w:t>
      </w:r>
      <w:r>
        <w:t xml:space="preserve"> </w:t>
      </w:r>
      <w:r w:rsidR="00A85D44">
        <w:t>Environment</w:t>
      </w:r>
    </w:p>
    <w:p w14:paraId="71F5ECE0" w14:textId="77777777" w:rsidR="006A50BB" w:rsidRDefault="00000000">
      <w:pPr>
        <w:spacing w:after="100"/>
        <w:jc w:val="center"/>
      </w:pPr>
      <w:r>
        <w:t>University of Phoenix</w:t>
      </w:r>
    </w:p>
    <w:p w14:paraId="028D438A" w14:textId="29A863DC" w:rsidR="006A50BB" w:rsidRDefault="00000000">
      <w:pPr>
        <w:spacing w:after="600"/>
        <w:jc w:val="center"/>
      </w:pPr>
      <w:r>
        <w:t>September 1</w:t>
      </w:r>
      <w:r w:rsidR="00A85D44">
        <w:t>4</w:t>
      </w:r>
      <w:r>
        <w:t>, 2026</w:t>
      </w:r>
    </w:p>
    <w:p w14:paraId="35A02C9A" w14:textId="77777777" w:rsidR="006A50BB" w:rsidRPr="00A85D44" w:rsidRDefault="00000000">
      <w:pPr>
        <w:pStyle w:val="Heading1"/>
        <w:spacing w:before="320" w:after="160"/>
        <w:rPr>
          <w:color w:val="000000" w:themeColor="text1"/>
        </w:rPr>
      </w:pPr>
      <w:r w:rsidRPr="00A85D44">
        <w:rPr>
          <w:b/>
          <w:bCs/>
          <w:color w:val="000000" w:themeColor="text1"/>
          <w:sz w:val="26"/>
          <w:szCs w:val="26"/>
        </w:rPr>
        <w:t>Organization Overview</w:t>
      </w:r>
    </w:p>
    <w:p w14:paraId="5CDBE535" w14:textId="77777777" w:rsidR="006A50BB" w:rsidRPr="00A85D44" w:rsidRDefault="00000000">
      <w:pPr>
        <w:pStyle w:val="Heading2"/>
        <w:spacing w:before="240" w:after="120"/>
        <w:rPr>
          <w:color w:val="000000" w:themeColor="text1"/>
        </w:rPr>
      </w:pPr>
      <w:r w:rsidRPr="00A85D44">
        <w:rPr>
          <w:b/>
          <w:bCs/>
          <w:i/>
          <w:iCs/>
          <w:color w:val="000000" w:themeColor="text1"/>
          <w:sz w:val="24"/>
          <w:szCs w:val="24"/>
        </w:rPr>
        <w:t>Organization Name</w:t>
      </w:r>
    </w:p>
    <w:p w14:paraId="7AF506F4" w14:textId="6EB8E393" w:rsidR="006A50BB" w:rsidRDefault="00000000">
      <w:pPr>
        <w:spacing w:after="200" w:line="480" w:lineRule="auto"/>
      </w:pPr>
      <w:r>
        <w:t>DHL Group (</w:t>
      </w:r>
      <w:proofErr w:type="spellStart"/>
      <w:r w:rsidR="00EA0F1F" w:rsidRPr="00EA0F1F">
        <w:rPr>
          <w:color w:val="000000" w:themeColor="text1"/>
        </w:rPr>
        <w:t>Dalsey</w:t>
      </w:r>
      <w:proofErr w:type="spellEnd"/>
      <w:r w:rsidR="00EA0F1F" w:rsidRPr="00EA0F1F">
        <w:rPr>
          <w:color w:val="000000" w:themeColor="text1"/>
        </w:rPr>
        <w:t>, Hillblom and Lynn</w:t>
      </w:r>
      <w:r>
        <w:t>)</w:t>
      </w:r>
      <w:r w:rsidR="00EA0F1F">
        <w:t>, a</w:t>
      </w:r>
      <w:r w:rsidR="00EA0F1F" w:rsidRPr="00EA0F1F">
        <w:t>lso known as Deutsche Post DHL Group</w:t>
      </w:r>
      <w:r>
        <w:t>, headquartered in Bonn, Germany.</w:t>
      </w:r>
      <w:r w:rsidR="00EA0F1F">
        <w:t xml:space="preserve"> (Gale, n.d.)</w:t>
      </w:r>
    </w:p>
    <w:p w14:paraId="2518C3A4" w14:textId="77777777" w:rsidR="006A50BB" w:rsidRPr="00A85D44" w:rsidRDefault="00000000">
      <w:pPr>
        <w:pStyle w:val="Heading2"/>
        <w:spacing w:before="240" w:after="120"/>
        <w:rPr>
          <w:color w:val="000000" w:themeColor="text1"/>
        </w:rPr>
      </w:pPr>
      <w:r w:rsidRPr="00A85D44">
        <w:rPr>
          <w:b/>
          <w:bCs/>
          <w:i/>
          <w:iCs/>
          <w:color w:val="000000" w:themeColor="text1"/>
          <w:sz w:val="24"/>
          <w:szCs w:val="24"/>
        </w:rPr>
        <w:t>Industry</w:t>
      </w:r>
    </w:p>
    <w:p w14:paraId="42162DF0" w14:textId="77777777" w:rsidR="006A50BB" w:rsidRDefault="00000000">
      <w:pPr>
        <w:spacing w:after="200" w:line="480" w:lineRule="auto"/>
      </w:pPr>
      <w:r>
        <w:t>DHL Group operates in the transportation and logistics industry. It describes itself as “the world’s leading logistics company,” organized into five divisions — Express (urgent document and parcel delivery), Global Forwarding (international air and ocean freight), Supply Chain (contract logistics and warehousing), eCommerce (domestic parcel delivery across Europe, the U.S., and Asia), and Post &amp; Parcel Germany — serving more than 220 countries and territories with roughly 584,000 employees and about €83 billion in 2025 revenue (DHL Group, n.d.-a).</w:t>
      </w:r>
    </w:p>
    <w:p w14:paraId="67ED3557" w14:textId="77777777" w:rsidR="006A50BB" w:rsidRPr="00A85D44" w:rsidRDefault="00000000">
      <w:pPr>
        <w:pStyle w:val="Heading2"/>
        <w:spacing w:before="240" w:after="120"/>
        <w:rPr>
          <w:color w:val="000000" w:themeColor="text1"/>
        </w:rPr>
      </w:pPr>
      <w:r w:rsidRPr="00A85D44">
        <w:rPr>
          <w:b/>
          <w:bCs/>
          <w:i/>
          <w:iCs/>
          <w:color w:val="000000" w:themeColor="text1"/>
          <w:sz w:val="24"/>
          <w:szCs w:val="24"/>
        </w:rPr>
        <w:t>Brief History</w:t>
      </w:r>
    </w:p>
    <w:p w14:paraId="12242CB1" w14:textId="77777777" w:rsidR="006A50BB" w:rsidRDefault="00000000">
      <w:pPr>
        <w:spacing w:after="200" w:line="480" w:lineRule="auto"/>
      </w:pPr>
      <w:r>
        <w:t>DHL began in 1969 when three entrepreneurs invented the concept of flying a shipment’s customs documents ahead of the cargo itself, cutting clearance delays for ocean freight. The company later became the express-delivery arm of Germany’s Deutsche Post, forming the group structure that exists today. Selected milestones since then:</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80"/>
      </w:tblGrid>
      <w:tr w:rsidR="006A50BB" w14:paraId="3A1B7822" w14:textId="77777777">
        <w:tblPrEx>
          <w:tblCellMar>
            <w:top w:w="0" w:type="dxa"/>
            <w:bottom w:w="0" w:type="dxa"/>
          </w:tblCellMar>
        </w:tblPrEx>
        <w:trPr>
          <w:cantSplit/>
          <w:tblHeader/>
        </w:trPr>
        <w:tc>
          <w:tcPr>
            <w:tcW w:w="1400" w:type="dxa"/>
            <w:shd w:val="clear" w:color="auto" w:fill="D9D9D9"/>
            <w:tcMar>
              <w:top w:w="100" w:type="dxa"/>
              <w:left w:w="120" w:type="dxa"/>
              <w:bottom w:w="100" w:type="dxa"/>
              <w:right w:w="120" w:type="dxa"/>
            </w:tcMar>
          </w:tcPr>
          <w:p w14:paraId="10D32CDD" w14:textId="77777777" w:rsidR="006A50BB" w:rsidRDefault="00000000">
            <w:pPr>
              <w:spacing w:line="264" w:lineRule="auto"/>
            </w:pPr>
            <w:r>
              <w:rPr>
                <w:b/>
                <w:bCs/>
                <w:sz w:val="22"/>
                <w:szCs w:val="22"/>
              </w:rPr>
              <w:lastRenderedPageBreak/>
              <w:t>Year</w:t>
            </w:r>
          </w:p>
        </w:tc>
        <w:tc>
          <w:tcPr>
            <w:tcW w:w="7580" w:type="dxa"/>
            <w:shd w:val="clear" w:color="auto" w:fill="D9D9D9"/>
            <w:tcMar>
              <w:top w:w="100" w:type="dxa"/>
              <w:left w:w="120" w:type="dxa"/>
              <w:bottom w:w="100" w:type="dxa"/>
              <w:right w:w="120" w:type="dxa"/>
            </w:tcMar>
          </w:tcPr>
          <w:p w14:paraId="106CD45C" w14:textId="77777777" w:rsidR="006A50BB" w:rsidRDefault="00000000">
            <w:pPr>
              <w:spacing w:line="264" w:lineRule="auto"/>
            </w:pPr>
            <w:r>
              <w:rPr>
                <w:b/>
                <w:bCs/>
                <w:sz w:val="22"/>
                <w:szCs w:val="22"/>
              </w:rPr>
              <w:t>Milestone</w:t>
            </w:r>
          </w:p>
        </w:tc>
      </w:tr>
      <w:tr w:rsidR="006A50BB" w14:paraId="791BC85E" w14:textId="77777777">
        <w:tblPrEx>
          <w:tblCellMar>
            <w:top w:w="0" w:type="dxa"/>
            <w:bottom w:w="0" w:type="dxa"/>
          </w:tblCellMar>
        </w:tblPrEx>
        <w:trPr>
          <w:cantSplit/>
        </w:trPr>
        <w:tc>
          <w:tcPr>
            <w:tcW w:w="1400" w:type="dxa"/>
            <w:tcMar>
              <w:top w:w="100" w:type="dxa"/>
              <w:left w:w="120" w:type="dxa"/>
              <w:bottom w:w="100" w:type="dxa"/>
              <w:right w:w="120" w:type="dxa"/>
            </w:tcMar>
          </w:tcPr>
          <w:p w14:paraId="4ADC785B" w14:textId="77777777" w:rsidR="006A50BB" w:rsidRDefault="00000000">
            <w:pPr>
              <w:spacing w:line="264" w:lineRule="auto"/>
            </w:pPr>
            <w:r>
              <w:rPr>
                <w:sz w:val="22"/>
                <w:szCs w:val="22"/>
              </w:rPr>
              <w:t>1969</w:t>
            </w:r>
          </w:p>
        </w:tc>
        <w:tc>
          <w:tcPr>
            <w:tcW w:w="7580" w:type="dxa"/>
            <w:tcMar>
              <w:top w:w="100" w:type="dxa"/>
              <w:left w:w="120" w:type="dxa"/>
              <w:bottom w:w="100" w:type="dxa"/>
              <w:right w:w="120" w:type="dxa"/>
            </w:tcMar>
          </w:tcPr>
          <w:p w14:paraId="07022A42" w14:textId="77777777" w:rsidR="006A50BB" w:rsidRDefault="00000000">
            <w:pPr>
              <w:spacing w:line="264" w:lineRule="auto"/>
            </w:pPr>
            <w:r>
              <w:rPr>
                <w:sz w:val="22"/>
                <w:szCs w:val="22"/>
              </w:rPr>
              <w:t>Adrian Dalsey, Larry Hillblom, and Robert Lynn founded DHL in San Francisco — their surnames form the company name — pioneering door-to-door air courier delivery of shipping documents ahead of the cargo itself, the innovation that created the modern express-delivery industry.</w:t>
            </w:r>
          </w:p>
        </w:tc>
      </w:tr>
      <w:tr w:rsidR="006A50BB" w14:paraId="303FACA3" w14:textId="77777777">
        <w:tblPrEx>
          <w:tblCellMar>
            <w:top w:w="0" w:type="dxa"/>
            <w:bottom w:w="0" w:type="dxa"/>
          </w:tblCellMar>
        </w:tblPrEx>
        <w:trPr>
          <w:cantSplit/>
        </w:trPr>
        <w:tc>
          <w:tcPr>
            <w:tcW w:w="1400" w:type="dxa"/>
            <w:tcMar>
              <w:top w:w="100" w:type="dxa"/>
              <w:left w:w="120" w:type="dxa"/>
              <w:bottom w:w="100" w:type="dxa"/>
              <w:right w:w="120" w:type="dxa"/>
            </w:tcMar>
          </w:tcPr>
          <w:p w14:paraId="39E2A64D" w14:textId="77777777" w:rsidR="006A50BB" w:rsidRDefault="00000000">
            <w:pPr>
              <w:spacing w:line="264" w:lineRule="auto"/>
            </w:pPr>
            <w:r>
              <w:rPr>
                <w:sz w:val="22"/>
                <w:szCs w:val="22"/>
              </w:rPr>
              <w:t>1986</w:t>
            </w:r>
          </w:p>
        </w:tc>
        <w:tc>
          <w:tcPr>
            <w:tcW w:w="7580" w:type="dxa"/>
            <w:tcMar>
              <w:top w:w="100" w:type="dxa"/>
              <w:left w:w="120" w:type="dxa"/>
              <w:bottom w:w="100" w:type="dxa"/>
              <w:right w:w="120" w:type="dxa"/>
            </w:tcMar>
          </w:tcPr>
          <w:p w14:paraId="47129DE1" w14:textId="6FA409B8" w:rsidR="006A50BB" w:rsidRDefault="003F2C1C">
            <w:pPr>
              <w:spacing w:line="264" w:lineRule="auto"/>
            </w:pPr>
            <w:r w:rsidRPr="003F2C1C">
              <w:rPr>
                <w:sz w:val="22"/>
                <w:szCs w:val="22"/>
              </w:rPr>
              <w:t xml:space="preserve">DHL </w:t>
            </w:r>
            <w:proofErr w:type="gramStart"/>
            <w:r w:rsidRPr="003F2C1C">
              <w:rPr>
                <w:sz w:val="22"/>
                <w:szCs w:val="22"/>
              </w:rPr>
              <w:t>enters into</w:t>
            </w:r>
            <w:proofErr w:type="gramEnd"/>
            <w:r w:rsidRPr="003F2C1C">
              <w:rPr>
                <w:sz w:val="22"/>
                <w:szCs w:val="22"/>
              </w:rPr>
              <w:t xml:space="preserve"> a joint venture with the People's Republic of China, making it the first express company to operate inside of </w:t>
            </w:r>
            <w:proofErr w:type="gramStart"/>
            <w:r w:rsidRPr="003F2C1C">
              <w:rPr>
                <w:sz w:val="22"/>
                <w:szCs w:val="22"/>
              </w:rPr>
              <w:t>China.</w:t>
            </w:r>
            <w:r>
              <w:rPr>
                <w:sz w:val="22"/>
                <w:szCs w:val="22"/>
              </w:rPr>
              <w:t>(</w:t>
            </w:r>
            <w:proofErr w:type="gramEnd"/>
            <w:r>
              <w:rPr>
                <w:sz w:val="22"/>
                <w:szCs w:val="22"/>
              </w:rPr>
              <w:t xml:space="preserve">DHL Group, </w:t>
            </w:r>
            <w:proofErr w:type="spellStart"/>
            <w:r>
              <w:rPr>
                <w:sz w:val="22"/>
                <w:szCs w:val="22"/>
              </w:rPr>
              <w:t>n.d</w:t>
            </w:r>
            <w:proofErr w:type="spellEnd"/>
            <w:r>
              <w:rPr>
                <w:sz w:val="22"/>
                <w:szCs w:val="22"/>
              </w:rPr>
              <w:t>)</w:t>
            </w:r>
          </w:p>
        </w:tc>
      </w:tr>
      <w:tr w:rsidR="006A50BB" w14:paraId="6B02615B" w14:textId="77777777">
        <w:tblPrEx>
          <w:tblCellMar>
            <w:top w:w="0" w:type="dxa"/>
            <w:bottom w:w="0" w:type="dxa"/>
          </w:tblCellMar>
        </w:tblPrEx>
        <w:trPr>
          <w:cantSplit/>
        </w:trPr>
        <w:tc>
          <w:tcPr>
            <w:tcW w:w="1400" w:type="dxa"/>
            <w:tcMar>
              <w:top w:w="100" w:type="dxa"/>
              <w:left w:w="120" w:type="dxa"/>
              <w:bottom w:w="100" w:type="dxa"/>
              <w:right w:w="120" w:type="dxa"/>
            </w:tcMar>
          </w:tcPr>
          <w:p w14:paraId="15CEB246" w14:textId="77777777" w:rsidR="006A50BB" w:rsidRDefault="00000000">
            <w:pPr>
              <w:spacing w:line="264" w:lineRule="auto"/>
            </w:pPr>
            <w:r>
              <w:rPr>
                <w:sz w:val="22"/>
                <w:szCs w:val="22"/>
              </w:rPr>
              <w:t>1998–2002</w:t>
            </w:r>
          </w:p>
        </w:tc>
        <w:tc>
          <w:tcPr>
            <w:tcW w:w="7580" w:type="dxa"/>
            <w:tcMar>
              <w:top w:w="100" w:type="dxa"/>
              <w:left w:w="120" w:type="dxa"/>
              <w:bottom w:w="100" w:type="dxa"/>
              <w:right w:w="120" w:type="dxa"/>
            </w:tcMar>
          </w:tcPr>
          <w:p w14:paraId="3599DEBA" w14:textId="77777777" w:rsidR="006A50BB" w:rsidRDefault="00000000">
            <w:pPr>
              <w:spacing w:line="264" w:lineRule="auto"/>
            </w:pPr>
            <w:r>
              <w:rPr>
                <w:sz w:val="22"/>
                <w:szCs w:val="22"/>
              </w:rPr>
              <w:t>Germany’s postal operator, Deutsche Post, acquired DHL in stages, completing full ownership in 2002 and merging a state postal service with the world’s leading express-delivery brand — the origin of today’s DHL Group structure.</w:t>
            </w:r>
          </w:p>
        </w:tc>
      </w:tr>
      <w:tr w:rsidR="006A50BB" w14:paraId="2D0E45ED" w14:textId="77777777">
        <w:tblPrEx>
          <w:tblCellMar>
            <w:top w:w="0" w:type="dxa"/>
            <w:bottom w:w="0" w:type="dxa"/>
          </w:tblCellMar>
        </w:tblPrEx>
        <w:trPr>
          <w:cantSplit/>
        </w:trPr>
        <w:tc>
          <w:tcPr>
            <w:tcW w:w="1400" w:type="dxa"/>
            <w:tcMar>
              <w:top w:w="100" w:type="dxa"/>
              <w:left w:w="120" w:type="dxa"/>
              <w:bottom w:w="100" w:type="dxa"/>
              <w:right w:w="120" w:type="dxa"/>
            </w:tcMar>
          </w:tcPr>
          <w:p w14:paraId="555DCD74" w14:textId="77777777" w:rsidR="006A50BB" w:rsidRDefault="00000000">
            <w:pPr>
              <w:spacing w:line="264" w:lineRule="auto"/>
            </w:pPr>
            <w:r>
              <w:rPr>
                <w:sz w:val="22"/>
                <w:szCs w:val="22"/>
              </w:rPr>
              <w:t>2005</w:t>
            </w:r>
          </w:p>
        </w:tc>
        <w:tc>
          <w:tcPr>
            <w:tcW w:w="7580" w:type="dxa"/>
            <w:tcMar>
              <w:top w:w="100" w:type="dxa"/>
              <w:left w:w="120" w:type="dxa"/>
              <w:bottom w:w="100" w:type="dxa"/>
              <w:right w:w="120" w:type="dxa"/>
            </w:tcMar>
          </w:tcPr>
          <w:p w14:paraId="0A9FBC7A" w14:textId="77777777" w:rsidR="006A50BB" w:rsidRDefault="00000000">
            <w:pPr>
              <w:spacing w:line="264" w:lineRule="auto"/>
            </w:pPr>
            <w:r>
              <w:rPr>
                <w:sz w:val="22"/>
                <w:szCs w:val="22"/>
              </w:rPr>
              <w:t xml:space="preserve">Acquired UK-based logistics group </w:t>
            </w:r>
            <w:proofErr w:type="spellStart"/>
            <w:r>
              <w:rPr>
                <w:sz w:val="22"/>
                <w:szCs w:val="22"/>
              </w:rPr>
              <w:t>Exel</w:t>
            </w:r>
            <w:proofErr w:type="spellEnd"/>
            <w:r>
              <w:rPr>
                <w:sz w:val="22"/>
                <w:szCs w:val="22"/>
              </w:rPr>
              <w:t>, substantially expanding the company’s contract-logistics and Supply Chain division capabilities.</w:t>
            </w:r>
          </w:p>
        </w:tc>
      </w:tr>
      <w:tr w:rsidR="006A50BB" w14:paraId="4A3C2D84" w14:textId="77777777">
        <w:tblPrEx>
          <w:tblCellMar>
            <w:top w:w="0" w:type="dxa"/>
            <w:bottom w:w="0" w:type="dxa"/>
          </w:tblCellMar>
        </w:tblPrEx>
        <w:trPr>
          <w:cantSplit/>
        </w:trPr>
        <w:tc>
          <w:tcPr>
            <w:tcW w:w="1400" w:type="dxa"/>
            <w:tcMar>
              <w:top w:w="100" w:type="dxa"/>
              <w:left w:w="120" w:type="dxa"/>
              <w:bottom w:w="100" w:type="dxa"/>
              <w:right w:w="120" w:type="dxa"/>
            </w:tcMar>
          </w:tcPr>
          <w:p w14:paraId="179D5204" w14:textId="77777777" w:rsidR="006A50BB" w:rsidRDefault="00000000">
            <w:pPr>
              <w:spacing w:line="264" w:lineRule="auto"/>
            </w:pPr>
            <w:r>
              <w:rPr>
                <w:sz w:val="22"/>
                <w:szCs w:val="22"/>
              </w:rPr>
              <w:t>2017</w:t>
            </w:r>
          </w:p>
        </w:tc>
        <w:tc>
          <w:tcPr>
            <w:tcW w:w="7580" w:type="dxa"/>
            <w:tcMar>
              <w:top w:w="100" w:type="dxa"/>
              <w:left w:w="120" w:type="dxa"/>
              <w:bottom w:w="100" w:type="dxa"/>
              <w:right w:w="120" w:type="dxa"/>
            </w:tcMar>
          </w:tcPr>
          <w:p w14:paraId="096030C8" w14:textId="77777777" w:rsidR="006A50BB" w:rsidRDefault="00000000">
            <w:pPr>
              <w:spacing w:line="264" w:lineRule="auto"/>
            </w:pPr>
            <w:r>
              <w:rPr>
                <w:sz w:val="22"/>
                <w:szCs w:val="22"/>
              </w:rPr>
              <w:t>Committed publicly to net-zero emissions logistics by 2050, an early and aggressive sustainability pledge for the freight and delivery industry that now anchors the company’s Strategy 2030 “Green Logistics of Choice” pillar.</w:t>
            </w:r>
          </w:p>
        </w:tc>
      </w:tr>
      <w:tr w:rsidR="006A50BB" w14:paraId="04830750" w14:textId="77777777">
        <w:tblPrEx>
          <w:tblCellMar>
            <w:top w:w="0" w:type="dxa"/>
            <w:bottom w:w="0" w:type="dxa"/>
          </w:tblCellMar>
        </w:tblPrEx>
        <w:trPr>
          <w:cantSplit/>
        </w:trPr>
        <w:tc>
          <w:tcPr>
            <w:tcW w:w="1400" w:type="dxa"/>
            <w:tcMar>
              <w:top w:w="100" w:type="dxa"/>
              <w:left w:w="120" w:type="dxa"/>
              <w:bottom w:w="100" w:type="dxa"/>
              <w:right w:w="120" w:type="dxa"/>
            </w:tcMar>
          </w:tcPr>
          <w:p w14:paraId="01AAF806" w14:textId="77777777" w:rsidR="006A50BB" w:rsidRDefault="00000000">
            <w:pPr>
              <w:spacing w:line="264" w:lineRule="auto"/>
            </w:pPr>
            <w:r>
              <w:rPr>
                <w:sz w:val="22"/>
                <w:szCs w:val="22"/>
              </w:rPr>
              <w:t>2025</w:t>
            </w:r>
          </w:p>
        </w:tc>
        <w:tc>
          <w:tcPr>
            <w:tcW w:w="7580" w:type="dxa"/>
            <w:tcMar>
              <w:top w:w="100" w:type="dxa"/>
              <w:left w:w="120" w:type="dxa"/>
              <w:bottom w:w="100" w:type="dxa"/>
              <w:right w:w="120" w:type="dxa"/>
            </w:tcMar>
          </w:tcPr>
          <w:p w14:paraId="16F9B435" w14:textId="77777777" w:rsidR="006A50BB" w:rsidRDefault="00000000">
            <w:pPr>
              <w:spacing w:line="264" w:lineRule="auto"/>
            </w:pPr>
            <w:r>
              <w:rPr>
                <w:sz w:val="22"/>
                <w:szCs w:val="22"/>
              </w:rPr>
              <w:t>Acquired CRYOPDP (specialized pharmaceutical and life-sciences logistics) and opened an innovation center in Dubai, reflecting DHL Group’s continued expansion into high-value, technology-driven logistics niches.</w:t>
            </w:r>
          </w:p>
        </w:tc>
      </w:tr>
    </w:tbl>
    <w:p w14:paraId="31BC3911" w14:textId="77777777" w:rsidR="006A50BB" w:rsidRDefault="00000000">
      <w:pPr>
        <w:spacing w:after="200" w:line="480" w:lineRule="auto"/>
      </w:pPr>
      <w:r>
        <w:t xml:space="preserve"> </w:t>
      </w:r>
    </w:p>
    <w:p w14:paraId="1CE61313" w14:textId="77777777" w:rsidR="006A50BB" w:rsidRPr="00A85D44" w:rsidRDefault="00000000">
      <w:pPr>
        <w:pStyle w:val="Heading2"/>
        <w:spacing w:before="240" w:after="120"/>
        <w:rPr>
          <w:color w:val="000000" w:themeColor="text1"/>
        </w:rPr>
      </w:pPr>
      <w:r w:rsidRPr="00A85D44">
        <w:rPr>
          <w:b/>
          <w:bCs/>
          <w:i/>
          <w:iCs/>
          <w:color w:val="000000" w:themeColor="text1"/>
          <w:sz w:val="24"/>
          <w:szCs w:val="24"/>
        </w:rPr>
        <w:t>Mission and Vision</w:t>
      </w:r>
    </w:p>
    <w:p w14:paraId="417687D5" w14:textId="77777777" w:rsidR="006A50BB" w:rsidRDefault="00000000">
      <w:pPr>
        <w:spacing w:after="200" w:line="480" w:lineRule="auto"/>
      </w:pPr>
      <w:r>
        <w:t>Purpose (as published in DHL Group’s official sustainability reporting): “Connecting People. Improving Lives.” This statement frames the company’s stated role as “an enabler of global trade” that connects people and markets (DHL Group, 2023).</w:t>
      </w:r>
    </w:p>
    <w:p w14:paraId="7B45DE9A" w14:textId="0315CD1C" w:rsidR="006A50BB" w:rsidRDefault="00000000">
      <w:pPr>
        <w:spacing w:after="200" w:line="480" w:lineRule="auto"/>
      </w:pPr>
      <w:r>
        <w:t xml:space="preserve">Strategic vision: DHL Group operates under “Strategy 2030,” built around three pillars — becoming the “Green Logistics of Choice” through emissions reduction (with a net-zero target by 2050), being a “great place to work for all,” and functioning as a “highly trusted company” — while pursuing “accelerated sustainable growth in its profitable core logistics businesses” (DHL Group, n.d.-a). </w:t>
      </w:r>
    </w:p>
    <w:p w14:paraId="6B4A8621" w14:textId="77777777" w:rsidR="003F2C1C" w:rsidRDefault="003F2C1C">
      <w:pPr>
        <w:spacing w:after="200" w:line="480" w:lineRule="auto"/>
      </w:pPr>
    </w:p>
    <w:p w14:paraId="4279AD2F" w14:textId="77777777" w:rsidR="006A50BB" w:rsidRPr="00A85D44" w:rsidRDefault="00000000">
      <w:pPr>
        <w:pStyle w:val="Heading1"/>
        <w:spacing w:before="320" w:after="160"/>
        <w:rPr>
          <w:color w:val="000000" w:themeColor="text1"/>
        </w:rPr>
      </w:pPr>
      <w:r w:rsidRPr="00A85D44">
        <w:rPr>
          <w:b/>
          <w:bCs/>
          <w:color w:val="000000" w:themeColor="text1"/>
          <w:sz w:val="26"/>
          <w:szCs w:val="26"/>
        </w:rPr>
        <w:lastRenderedPageBreak/>
        <w:t>Research Resources</w:t>
      </w:r>
    </w:p>
    <w:p w14:paraId="50F5CBD9" w14:textId="77777777" w:rsidR="006A50BB" w:rsidRDefault="00000000">
      <w:pPr>
        <w:spacing w:after="200" w:line="480" w:lineRule="auto"/>
      </w:pPr>
      <w:r>
        <w:t>At least three resources for locating company information in future weeks:</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1367"/>
        <w:gridCol w:w="4819"/>
      </w:tblGrid>
      <w:tr w:rsidR="006A50BB" w14:paraId="0B7A06D6" w14:textId="77777777">
        <w:tblPrEx>
          <w:tblCellMar>
            <w:top w:w="0" w:type="dxa"/>
            <w:bottom w:w="0" w:type="dxa"/>
          </w:tblCellMar>
        </w:tblPrEx>
        <w:trPr>
          <w:cantSplit/>
          <w:tblHeader/>
        </w:trPr>
        <w:tc>
          <w:tcPr>
            <w:tcW w:w="2400" w:type="dxa"/>
            <w:shd w:val="clear" w:color="auto" w:fill="D9D9D9"/>
            <w:tcMar>
              <w:top w:w="100" w:type="dxa"/>
              <w:left w:w="120" w:type="dxa"/>
              <w:bottom w:w="100" w:type="dxa"/>
              <w:right w:w="120" w:type="dxa"/>
            </w:tcMar>
          </w:tcPr>
          <w:p w14:paraId="009A33A1" w14:textId="77777777" w:rsidR="006A50BB" w:rsidRDefault="00000000">
            <w:pPr>
              <w:spacing w:line="264" w:lineRule="auto"/>
            </w:pPr>
            <w:r>
              <w:rPr>
                <w:b/>
                <w:bCs/>
                <w:sz w:val="22"/>
                <w:szCs w:val="22"/>
              </w:rPr>
              <w:t>Resource</w:t>
            </w:r>
          </w:p>
        </w:tc>
        <w:tc>
          <w:tcPr>
            <w:tcW w:w="1400" w:type="dxa"/>
            <w:shd w:val="clear" w:color="auto" w:fill="D9D9D9"/>
            <w:tcMar>
              <w:top w:w="100" w:type="dxa"/>
              <w:left w:w="120" w:type="dxa"/>
              <w:bottom w:w="100" w:type="dxa"/>
              <w:right w:w="120" w:type="dxa"/>
            </w:tcMar>
          </w:tcPr>
          <w:p w14:paraId="36BB5B44" w14:textId="77777777" w:rsidR="006A50BB" w:rsidRDefault="00000000">
            <w:pPr>
              <w:spacing w:line="264" w:lineRule="auto"/>
            </w:pPr>
            <w:r>
              <w:rPr>
                <w:b/>
                <w:bCs/>
                <w:sz w:val="22"/>
                <w:szCs w:val="22"/>
              </w:rPr>
              <w:t>Type</w:t>
            </w:r>
          </w:p>
        </w:tc>
        <w:tc>
          <w:tcPr>
            <w:tcW w:w="5180" w:type="dxa"/>
            <w:shd w:val="clear" w:color="auto" w:fill="D9D9D9"/>
            <w:tcMar>
              <w:top w:w="100" w:type="dxa"/>
              <w:left w:w="120" w:type="dxa"/>
              <w:bottom w:w="100" w:type="dxa"/>
              <w:right w:w="120" w:type="dxa"/>
            </w:tcMar>
          </w:tcPr>
          <w:p w14:paraId="4CA906E3" w14:textId="77777777" w:rsidR="006A50BB" w:rsidRDefault="00000000">
            <w:pPr>
              <w:spacing w:line="264" w:lineRule="auto"/>
            </w:pPr>
            <w:r>
              <w:rPr>
                <w:b/>
                <w:bCs/>
                <w:sz w:val="22"/>
                <w:szCs w:val="22"/>
              </w:rPr>
              <w:t>What It Offers for Future Weeks</w:t>
            </w:r>
          </w:p>
        </w:tc>
      </w:tr>
      <w:tr w:rsidR="006A50BB" w14:paraId="36CE5271" w14:textId="77777777">
        <w:tblPrEx>
          <w:tblCellMar>
            <w:top w:w="0" w:type="dxa"/>
            <w:bottom w:w="0" w:type="dxa"/>
          </w:tblCellMar>
        </w:tblPrEx>
        <w:trPr>
          <w:cantSplit/>
        </w:trPr>
        <w:tc>
          <w:tcPr>
            <w:tcW w:w="2400" w:type="dxa"/>
            <w:tcMar>
              <w:top w:w="100" w:type="dxa"/>
              <w:left w:w="120" w:type="dxa"/>
              <w:bottom w:w="100" w:type="dxa"/>
              <w:right w:w="120" w:type="dxa"/>
            </w:tcMar>
          </w:tcPr>
          <w:p w14:paraId="63650772" w14:textId="77777777" w:rsidR="006A50BB" w:rsidRDefault="00000000">
            <w:pPr>
              <w:spacing w:line="264" w:lineRule="auto"/>
            </w:pPr>
            <w:r>
              <w:rPr>
                <w:sz w:val="22"/>
                <w:szCs w:val="22"/>
              </w:rPr>
              <w:t>DHL Group Investor Relations (group.dhl.com/</w:t>
            </w:r>
            <w:proofErr w:type="spellStart"/>
            <w:r>
              <w:rPr>
                <w:sz w:val="22"/>
                <w:szCs w:val="22"/>
              </w:rPr>
              <w:t>en</w:t>
            </w:r>
            <w:proofErr w:type="spellEnd"/>
            <w:r>
              <w:rPr>
                <w:sz w:val="22"/>
                <w:szCs w:val="22"/>
              </w:rPr>
              <w:t>/investors)</w:t>
            </w:r>
          </w:p>
        </w:tc>
        <w:tc>
          <w:tcPr>
            <w:tcW w:w="1400" w:type="dxa"/>
            <w:tcMar>
              <w:top w:w="100" w:type="dxa"/>
              <w:left w:w="120" w:type="dxa"/>
              <w:bottom w:w="100" w:type="dxa"/>
              <w:right w:w="120" w:type="dxa"/>
            </w:tcMar>
          </w:tcPr>
          <w:p w14:paraId="35DB9A19" w14:textId="77777777" w:rsidR="006A50BB" w:rsidRDefault="00000000">
            <w:pPr>
              <w:spacing w:line="264" w:lineRule="auto"/>
            </w:pPr>
            <w:r>
              <w:rPr>
                <w:sz w:val="22"/>
                <w:szCs w:val="22"/>
              </w:rPr>
              <w:t>Company / Official</w:t>
            </w:r>
          </w:p>
        </w:tc>
        <w:tc>
          <w:tcPr>
            <w:tcW w:w="5180" w:type="dxa"/>
            <w:tcMar>
              <w:top w:w="100" w:type="dxa"/>
              <w:left w:w="120" w:type="dxa"/>
              <w:bottom w:w="100" w:type="dxa"/>
              <w:right w:w="120" w:type="dxa"/>
            </w:tcMar>
          </w:tcPr>
          <w:p w14:paraId="44B38A52" w14:textId="77777777" w:rsidR="006A50BB" w:rsidRDefault="00000000">
            <w:pPr>
              <w:spacing w:line="264" w:lineRule="auto"/>
            </w:pPr>
            <w:r>
              <w:rPr>
                <w:sz w:val="22"/>
                <w:szCs w:val="22"/>
              </w:rPr>
              <w:t>Annual reports, half-year and quarterly financial statements, and earnings-call materials — primary-source financial performance and direct leadership commentary on strategy (Strategy 2030).</w:t>
            </w:r>
          </w:p>
        </w:tc>
      </w:tr>
      <w:tr w:rsidR="006A50BB" w14:paraId="66CECA3C" w14:textId="77777777">
        <w:tblPrEx>
          <w:tblCellMar>
            <w:top w:w="0" w:type="dxa"/>
            <w:bottom w:w="0" w:type="dxa"/>
          </w:tblCellMar>
        </w:tblPrEx>
        <w:trPr>
          <w:cantSplit/>
        </w:trPr>
        <w:tc>
          <w:tcPr>
            <w:tcW w:w="2400" w:type="dxa"/>
            <w:tcMar>
              <w:top w:w="100" w:type="dxa"/>
              <w:left w:w="120" w:type="dxa"/>
              <w:bottom w:w="100" w:type="dxa"/>
              <w:right w:w="120" w:type="dxa"/>
            </w:tcMar>
          </w:tcPr>
          <w:p w14:paraId="243D8D0C" w14:textId="14D1653B" w:rsidR="006A50BB" w:rsidRDefault="00000000">
            <w:pPr>
              <w:spacing w:line="264" w:lineRule="auto"/>
            </w:pPr>
            <w:r>
              <w:rPr>
                <w:sz w:val="22"/>
                <w:szCs w:val="22"/>
              </w:rPr>
              <w:t xml:space="preserve">University Library: </w:t>
            </w:r>
            <w:r w:rsidR="003F2C1C">
              <w:rPr>
                <w:sz w:val="22"/>
                <w:szCs w:val="22"/>
              </w:rPr>
              <w:t xml:space="preserve">Gale Research </w:t>
            </w:r>
            <w:r w:rsidR="00E621E8">
              <w:rPr>
                <w:sz w:val="22"/>
                <w:szCs w:val="22"/>
              </w:rPr>
              <w:t>Complete</w:t>
            </w:r>
          </w:p>
        </w:tc>
        <w:tc>
          <w:tcPr>
            <w:tcW w:w="1400" w:type="dxa"/>
            <w:tcMar>
              <w:top w:w="100" w:type="dxa"/>
              <w:left w:w="120" w:type="dxa"/>
              <w:bottom w:w="100" w:type="dxa"/>
              <w:right w:w="120" w:type="dxa"/>
            </w:tcMar>
          </w:tcPr>
          <w:p w14:paraId="6858D096" w14:textId="77777777" w:rsidR="006A50BB" w:rsidRDefault="00000000">
            <w:pPr>
              <w:spacing w:line="264" w:lineRule="auto"/>
            </w:pPr>
            <w:r>
              <w:rPr>
                <w:sz w:val="22"/>
                <w:szCs w:val="22"/>
              </w:rPr>
              <w:t>Library Database</w:t>
            </w:r>
          </w:p>
        </w:tc>
        <w:tc>
          <w:tcPr>
            <w:tcW w:w="5180" w:type="dxa"/>
            <w:tcMar>
              <w:top w:w="100" w:type="dxa"/>
              <w:left w:w="120" w:type="dxa"/>
              <w:bottom w:w="100" w:type="dxa"/>
              <w:right w:w="120" w:type="dxa"/>
            </w:tcMar>
          </w:tcPr>
          <w:p w14:paraId="3246F26B" w14:textId="335DD46F" w:rsidR="006A50BB" w:rsidRDefault="00000000">
            <w:pPr>
              <w:spacing w:line="264" w:lineRule="auto"/>
            </w:pPr>
            <w:r>
              <w:rPr>
                <w:sz w:val="22"/>
                <w:szCs w:val="22"/>
              </w:rPr>
              <w:t xml:space="preserve">Industry classification data, </w:t>
            </w:r>
            <w:r w:rsidR="00E621E8">
              <w:rPr>
                <w:sz w:val="22"/>
                <w:szCs w:val="22"/>
              </w:rPr>
              <w:t>leading provider for research and learning resources for libraries.</w:t>
            </w:r>
          </w:p>
        </w:tc>
      </w:tr>
      <w:tr w:rsidR="006A50BB" w14:paraId="6A8AE61B" w14:textId="77777777">
        <w:tblPrEx>
          <w:tblCellMar>
            <w:top w:w="0" w:type="dxa"/>
            <w:bottom w:w="0" w:type="dxa"/>
          </w:tblCellMar>
        </w:tblPrEx>
        <w:trPr>
          <w:cantSplit/>
        </w:trPr>
        <w:tc>
          <w:tcPr>
            <w:tcW w:w="2400" w:type="dxa"/>
            <w:tcMar>
              <w:top w:w="100" w:type="dxa"/>
              <w:left w:w="120" w:type="dxa"/>
              <w:bottom w:w="100" w:type="dxa"/>
              <w:right w:w="120" w:type="dxa"/>
            </w:tcMar>
          </w:tcPr>
          <w:p w14:paraId="2631580F" w14:textId="77777777" w:rsidR="006A50BB" w:rsidRDefault="00000000">
            <w:pPr>
              <w:spacing w:line="264" w:lineRule="auto"/>
            </w:pPr>
            <w:r>
              <w:rPr>
                <w:sz w:val="22"/>
                <w:szCs w:val="22"/>
              </w:rPr>
              <w:t>University Library: Business Source Complete (EBSCO)</w:t>
            </w:r>
          </w:p>
        </w:tc>
        <w:tc>
          <w:tcPr>
            <w:tcW w:w="1400" w:type="dxa"/>
            <w:tcMar>
              <w:top w:w="100" w:type="dxa"/>
              <w:left w:w="120" w:type="dxa"/>
              <w:bottom w:w="100" w:type="dxa"/>
              <w:right w:w="120" w:type="dxa"/>
            </w:tcMar>
          </w:tcPr>
          <w:p w14:paraId="4E0BFF61" w14:textId="77777777" w:rsidR="006A50BB" w:rsidRDefault="00000000">
            <w:pPr>
              <w:spacing w:line="264" w:lineRule="auto"/>
            </w:pPr>
            <w:r>
              <w:rPr>
                <w:sz w:val="22"/>
                <w:szCs w:val="22"/>
              </w:rPr>
              <w:t>Library Database</w:t>
            </w:r>
          </w:p>
        </w:tc>
        <w:tc>
          <w:tcPr>
            <w:tcW w:w="5180" w:type="dxa"/>
            <w:tcMar>
              <w:top w:w="100" w:type="dxa"/>
              <w:left w:w="120" w:type="dxa"/>
              <w:bottom w:w="100" w:type="dxa"/>
              <w:right w:w="120" w:type="dxa"/>
            </w:tcMar>
          </w:tcPr>
          <w:p w14:paraId="3D511477" w14:textId="77777777" w:rsidR="006A50BB" w:rsidRDefault="00000000">
            <w:pPr>
              <w:spacing w:line="264" w:lineRule="auto"/>
            </w:pPr>
            <w:r>
              <w:rPr>
                <w:sz w:val="22"/>
                <w:szCs w:val="22"/>
              </w:rPr>
              <w:t>Peer-reviewed journal articles and trade publications on DHL Group’s leadership decisions, organizational structure, and technology adoption (e.g., automation, sustainable aviation fuel, digital freight forwarding).</w:t>
            </w:r>
          </w:p>
        </w:tc>
      </w:tr>
      <w:tr w:rsidR="006A50BB" w14:paraId="241F738F" w14:textId="77777777">
        <w:tblPrEx>
          <w:tblCellMar>
            <w:top w:w="0" w:type="dxa"/>
            <w:bottom w:w="0" w:type="dxa"/>
          </w:tblCellMar>
        </w:tblPrEx>
        <w:trPr>
          <w:cantSplit/>
        </w:trPr>
        <w:tc>
          <w:tcPr>
            <w:tcW w:w="2400" w:type="dxa"/>
            <w:tcMar>
              <w:top w:w="100" w:type="dxa"/>
              <w:left w:w="120" w:type="dxa"/>
              <w:bottom w:w="100" w:type="dxa"/>
              <w:right w:w="120" w:type="dxa"/>
            </w:tcMar>
          </w:tcPr>
          <w:p w14:paraId="6DAA8195" w14:textId="77777777" w:rsidR="006A50BB" w:rsidRDefault="00000000">
            <w:pPr>
              <w:spacing w:line="264" w:lineRule="auto"/>
            </w:pPr>
            <w:r>
              <w:rPr>
                <w:sz w:val="22"/>
                <w:szCs w:val="22"/>
              </w:rPr>
              <w:t>DHL Group Media Relations / Newsroom (group.dhl.com/</w:t>
            </w:r>
            <w:proofErr w:type="spellStart"/>
            <w:r>
              <w:rPr>
                <w:sz w:val="22"/>
                <w:szCs w:val="22"/>
              </w:rPr>
              <w:t>en</w:t>
            </w:r>
            <w:proofErr w:type="spellEnd"/>
            <w:r>
              <w:rPr>
                <w:sz w:val="22"/>
                <w:szCs w:val="22"/>
              </w:rPr>
              <w:t>/media-relations)</w:t>
            </w:r>
          </w:p>
        </w:tc>
        <w:tc>
          <w:tcPr>
            <w:tcW w:w="1400" w:type="dxa"/>
            <w:tcMar>
              <w:top w:w="100" w:type="dxa"/>
              <w:left w:w="120" w:type="dxa"/>
              <w:bottom w:w="100" w:type="dxa"/>
              <w:right w:w="120" w:type="dxa"/>
            </w:tcMar>
          </w:tcPr>
          <w:p w14:paraId="413A20EC" w14:textId="77777777" w:rsidR="006A50BB" w:rsidRDefault="00000000">
            <w:pPr>
              <w:spacing w:line="264" w:lineRule="auto"/>
            </w:pPr>
            <w:r>
              <w:rPr>
                <w:sz w:val="22"/>
                <w:szCs w:val="22"/>
              </w:rPr>
              <w:t>Company / Official</w:t>
            </w:r>
          </w:p>
        </w:tc>
        <w:tc>
          <w:tcPr>
            <w:tcW w:w="5180" w:type="dxa"/>
            <w:tcMar>
              <w:top w:w="100" w:type="dxa"/>
              <w:left w:w="120" w:type="dxa"/>
              <w:bottom w:w="100" w:type="dxa"/>
              <w:right w:w="120" w:type="dxa"/>
            </w:tcMar>
          </w:tcPr>
          <w:p w14:paraId="6E0DD7DF" w14:textId="77777777" w:rsidR="006A50BB" w:rsidRDefault="00000000">
            <w:pPr>
              <w:spacing w:line="264" w:lineRule="auto"/>
            </w:pPr>
            <w:r>
              <w:rPr>
                <w:sz w:val="22"/>
                <w:szCs w:val="22"/>
              </w:rPr>
              <w:t>Executive announcements, press releases on strategy and technology initiatives, and sustainability/ESG reporting that includes workforce demographic data across its roughly 584,000 employees.</w:t>
            </w:r>
          </w:p>
        </w:tc>
      </w:tr>
      <w:tr w:rsidR="006A50BB" w14:paraId="64FF87CB" w14:textId="77777777">
        <w:tblPrEx>
          <w:tblCellMar>
            <w:top w:w="0" w:type="dxa"/>
            <w:bottom w:w="0" w:type="dxa"/>
          </w:tblCellMar>
        </w:tblPrEx>
        <w:trPr>
          <w:cantSplit/>
        </w:trPr>
        <w:tc>
          <w:tcPr>
            <w:tcW w:w="2400" w:type="dxa"/>
            <w:tcMar>
              <w:top w:w="100" w:type="dxa"/>
              <w:left w:w="120" w:type="dxa"/>
              <w:bottom w:w="100" w:type="dxa"/>
              <w:right w:w="120" w:type="dxa"/>
            </w:tcMar>
          </w:tcPr>
          <w:p w14:paraId="65A0FDDA" w14:textId="77777777" w:rsidR="006A50BB" w:rsidRDefault="00000000">
            <w:pPr>
              <w:spacing w:line="264" w:lineRule="auto"/>
            </w:pPr>
            <w:r>
              <w:rPr>
                <w:sz w:val="22"/>
                <w:szCs w:val="22"/>
              </w:rPr>
              <w:t xml:space="preserve">Trade and business press: Lloyd’s List, Journal of Commerce, </w:t>
            </w:r>
            <w:proofErr w:type="spellStart"/>
            <w:r>
              <w:rPr>
                <w:sz w:val="22"/>
                <w:szCs w:val="22"/>
              </w:rPr>
              <w:t>FreightWaves</w:t>
            </w:r>
            <w:proofErr w:type="spellEnd"/>
            <w:r>
              <w:rPr>
                <w:sz w:val="22"/>
                <w:szCs w:val="22"/>
              </w:rPr>
              <w:t>, Supply Chain Dive</w:t>
            </w:r>
          </w:p>
        </w:tc>
        <w:tc>
          <w:tcPr>
            <w:tcW w:w="1400" w:type="dxa"/>
            <w:tcMar>
              <w:top w:w="100" w:type="dxa"/>
              <w:left w:w="120" w:type="dxa"/>
              <w:bottom w:w="100" w:type="dxa"/>
              <w:right w:w="120" w:type="dxa"/>
            </w:tcMar>
          </w:tcPr>
          <w:p w14:paraId="6C378A48" w14:textId="77777777" w:rsidR="006A50BB" w:rsidRDefault="00000000">
            <w:pPr>
              <w:spacing w:line="264" w:lineRule="auto"/>
            </w:pPr>
            <w:r>
              <w:rPr>
                <w:sz w:val="22"/>
                <w:szCs w:val="22"/>
              </w:rPr>
              <w:t>Journal / News</w:t>
            </w:r>
          </w:p>
        </w:tc>
        <w:tc>
          <w:tcPr>
            <w:tcW w:w="5180" w:type="dxa"/>
            <w:tcMar>
              <w:top w:w="100" w:type="dxa"/>
              <w:left w:w="120" w:type="dxa"/>
              <w:bottom w:w="100" w:type="dxa"/>
              <w:right w:w="120" w:type="dxa"/>
            </w:tcMar>
          </w:tcPr>
          <w:p w14:paraId="29C0D030" w14:textId="77777777" w:rsidR="006A50BB" w:rsidRDefault="00000000">
            <w:pPr>
              <w:spacing w:line="264" w:lineRule="auto"/>
            </w:pPr>
            <w:r>
              <w:rPr>
                <w:sz w:val="22"/>
                <w:szCs w:val="22"/>
              </w:rPr>
              <w:t>Independent, ongoing reporting on DHL Group’s global freight, forwarding, and express operations from outside the company — particularly strong for the course’s international-trade angle.</w:t>
            </w:r>
          </w:p>
        </w:tc>
      </w:tr>
    </w:tbl>
    <w:p w14:paraId="3A096617" w14:textId="77777777" w:rsidR="006A50BB" w:rsidRDefault="00000000">
      <w:pPr>
        <w:spacing w:after="200" w:line="480" w:lineRule="auto"/>
      </w:pPr>
      <w:r>
        <w:t xml:space="preserve"> </w:t>
      </w:r>
    </w:p>
    <w:p w14:paraId="159E570D" w14:textId="77777777" w:rsidR="006A50BB" w:rsidRPr="00A85D44" w:rsidRDefault="00000000">
      <w:pPr>
        <w:pStyle w:val="Heading1"/>
        <w:spacing w:before="320" w:after="160"/>
        <w:rPr>
          <w:color w:val="000000" w:themeColor="text1"/>
        </w:rPr>
      </w:pPr>
      <w:r w:rsidRPr="00A85D44">
        <w:rPr>
          <w:b/>
          <w:bCs/>
          <w:color w:val="000000" w:themeColor="text1"/>
          <w:sz w:val="26"/>
          <w:szCs w:val="26"/>
        </w:rPr>
        <w:t>Competitive Landscape and Opportunity</w:t>
      </w:r>
    </w:p>
    <w:p w14:paraId="767E4744" w14:textId="77777777" w:rsidR="006A50BB" w:rsidRDefault="00000000">
      <w:pPr>
        <w:spacing w:after="200" w:line="480" w:lineRule="auto"/>
      </w:pPr>
      <w:r>
        <w:t>DHL Group’s two most direct competitors, plus one non-traditional competitor worth tracking for opportunity/threat analysis later in the course:</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80"/>
      </w:tblGrid>
      <w:tr w:rsidR="006A50BB" w14:paraId="75C599E3" w14:textId="77777777">
        <w:tblPrEx>
          <w:tblCellMar>
            <w:top w:w="0" w:type="dxa"/>
            <w:bottom w:w="0" w:type="dxa"/>
          </w:tblCellMar>
        </w:tblPrEx>
        <w:trPr>
          <w:cantSplit/>
          <w:tblHeader/>
        </w:trPr>
        <w:tc>
          <w:tcPr>
            <w:tcW w:w="2200" w:type="dxa"/>
            <w:shd w:val="clear" w:color="auto" w:fill="D9D9D9"/>
            <w:tcMar>
              <w:top w:w="100" w:type="dxa"/>
              <w:left w:w="120" w:type="dxa"/>
              <w:bottom w:w="100" w:type="dxa"/>
              <w:right w:w="120" w:type="dxa"/>
            </w:tcMar>
          </w:tcPr>
          <w:p w14:paraId="6580E8B9" w14:textId="77777777" w:rsidR="006A50BB" w:rsidRDefault="00000000">
            <w:pPr>
              <w:spacing w:line="264" w:lineRule="auto"/>
            </w:pPr>
            <w:r>
              <w:rPr>
                <w:b/>
                <w:bCs/>
                <w:sz w:val="22"/>
                <w:szCs w:val="22"/>
              </w:rPr>
              <w:t>Company</w:t>
            </w:r>
          </w:p>
        </w:tc>
        <w:tc>
          <w:tcPr>
            <w:tcW w:w="6780" w:type="dxa"/>
            <w:shd w:val="clear" w:color="auto" w:fill="D9D9D9"/>
            <w:tcMar>
              <w:top w:w="100" w:type="dxa"/>
              <w:left w:w="120" w:type="dxa"/>
              <w:bottom w:w="100" w:type="dxa"/>
              <w:right w:w="120" w:type="dxa"/>
            </w:tcMar>
          </w:tcPr>
          <w:p w14:paraId="1D6CE623" w14:textId="77777777" w:rsidR="006A50BB" w:rsidRDefault="00000000">
            <w:pPr>
              <w:spacing w:line="264" w:lineRule="auto"/>
            </w:pPr>
            <w:r>
              <w:rPr>
                <w:b/>
                <w:bCs/>
                <w:sz w:val="22"/>
                <w:szCs w:val="22"/>
              </w:rPr>
              <w:t>Basis of Competition</w:t>
            </w:r>
          </w:p>
        </w:tc>
      </w:tr>
      <w:tr w:rsidR="006A50BB" w14:paraId="4ED459FA" w14:textId="77777777">
        <w:tblPrEx>
          <w:tblCellMar>
            <w:top w:w="0" w:type="dxa"/>
            <w:bottom w:w="0" w:type="dxa"/>
          </w:tblCellMar>
        </w:tblPrEx>
        <w:trPr>
          <w:cantSplit/>
        </w:trPr>
        <w:tc>
          <w:tcPr>
            <w:tcW w:w="2200" w:type="dxa"/>
            <w:tcMar>
              <w:top w:w="100" w:type="dxa"/>
              <w:left w:w="120" w:type="dxa"/>
              <w:bottom w:w="100" w:type="dxa"/>
              <w:right w:w="120" w:type="dxa"/>
            </w:tcMar>
          </w:tcPr>
          <w:p w14:paraId="38AD9D1D" w14:textId="77777777" w:rsidR="006A50BB" w:rsidRDefault="00000000">
            <w:pPr>
              <w:spacing w:line="264" w:lineRule="auto"/>
            </w:pPr>
            <w:r>
              <w:rPr>
                <w:sz w:val="22"/>
                <w:szCs w:val="22"/>
              </w:rPr>
              <w:t>FedEx Corporation</w:t>
            </w:r>
          </w:p>
        </w:tc>
        <w:tc>
          <w:tcPr>
            <w:tcW w:w="6780" w:type="dxa"/>
            <w:tcMar>
              <w:top w:w="100" w:type="dxa"/>
              <w:left w:w="120" w:type="dxa"/>
              <w:bottom w:w="100" w:type="dxa"/>
              <w:right w:w="120" w:type="dxa"/>
            </w:tcMar>
          </w:tcPr>
          <w:p w14:paraId="777140EA" w14:textId="77777777" w:rsidR="006A50BB" w:rsidRDefault="00000000">
            <w:pPr>
              <w:spacing w:line="264" w:lineRule="auto"/>
            </w:pPr>
            <w:r>
              <w:rPr>
                <w:sz w:val="22"/>
                <w:szCs w:val="22"/>
              </w:rPr>
              <w:t>DHL’s primary rival in the international express and document-delivery niche DHL itself pioneered; both compete head-to-head on speed, global air network reach, and enterprise logistics contracts.</w:t>
            </w:r>
          </w:p>
        </w:tc>
      </w:tr>
      <w:tr w:rsidR="006A50BB" w14:paraId="3927A961" w14:textId="77777777">
        <w:tblPrEx>
          <w:tblCellMar>
            <w:top w:w="0" w:type="dxa"/>
            <w:bottom w:w="0" w:type="dxa"/>
          </w:tblCellMar>
        </w:tblPrEx>
        <w:trPr>
          <w:cantSplit/>
        </w:trPr>
        <w:tc>
          <w:tcPr>
            <w:tcW w:w="2200" w:type="dxa"/>
            <w:tcMar>
              <w:top w:w="100" w:type="dxa"/>
              <w:left w:w="120" w:type="dxa"/>
              <w:bottom w:w="100" w:type="dxa"/>
              <w:right w:w="120" w:type="dxa"/>
            </w:tcMar>
          </w:tcPr>
          <w:p w14:paraId="438CA728" w14:textId="77777777" w:rsidR="006A50BB" w:rsidRDefault="00000000">
            <w:pPr>
              <w:spacing w:line="264" w:lineRule="auto"/>
            </w:pPr>
            <w:r>
              <w:rPr>
                <w:sz w:val="22"/>
                <w:szCs w:val="22"/>
              </w:rPr>
              <w:lastRenderedPageBreak/>
              <w:t>United Parcel Service (UPS)</w:t>
            </w:r>
          </w:p>
        </w:tc>
        <w:tc>
          <w:tcPr>
            <w:tcW w:w="6780" w:type="dxa"/>
            <w:tcMar>
              <w:top w:w="100" w:type="dxa"/>
              <w:left w:w="120" w:type="dxa"/>
              <w:bottom w:w="100" w:type="dxa"/>
              <w:right w:w="120" w:type="dxa"/>
            </w:tcMar>
          </w:tcPr>
          <w:p w14:paraId="05F5937C" w14:textId="77777777" w:rsidR="006A50BB" w:rsidRDefault="00000000">
            <w:pPr>
              <w:spacing w:line="264" w:lineRule="auto"/>
            </w:pPr>
            <w:r>
              <w:rPr>
                <w:sz w:val="22"/>
                <w:szCs w:val="22"/>
              </w:rPr>
              <w:t>Competes with DHL across parcel, express, and increasingly contract-logistics/supply-chain services, with a more centralized operating model that is a frequent point of strategic comparison.</w:t>
            </w:r>
          </w:p>
        </w:tc>
      </w:tr>
      <w:tr w:rsidR="006A50BB" w14:paraId="5A14A897" w14:textId="77777777">
        <w:tblPrEx>
          <w:tblCellMar>
            <w:top w:w="0" w:type="dxa"/>
            <w:bottom w:w="0" w:type="dxa"/>
          </w:tblCellMar>
        </w:tblPrEx>
        <w:trPr>
          <w:cantSplit/>
        </w:trPr>
        <w:tc>
          <w:tcPr>
            <w:tcW w:w="2200" w:type="dxa"/>
            <w:tcMar>
              <w:top w:w="100" w:type="dxa"/>
              <w:left w:w="120" w:type="dxa"/>
              <w:bottom w:w="100" w:type="dxa"/>
              <w:right w:w="120" w:type="dxa"/>
            </w:tcMar>
          </w:tcPr>
          <w:p w14:paraId="4199C3F5" w14:textId="77777777" w:rsidR="006A50BB" w:rsidRDefault="00000000">
            <w:pPr>
              <w:spacing w:line="264" w:lineRule="auto"/>
            </w:pPr>
            <w:r>
              <w:rPr>
                <w:sz w:val="22"/>
                <w:szCs w:val="22"/>
              </w:rPr>
              <w:t>A.P. Moller-Maersk</w:t>
            </w:r>
          </w:p>
        </w:tc>
        <w:tc>
          <w:tcPr>
            <w:tcW w:w="6780" w:type="dxa"/>
            <w:tcMar>
              <w:top w:w="100" w:type="dxa"/>
              <w:left w:w="120" w:type="dxa"/>
              <w:bottom w:w="100" w:type="dxa"/>
              <w:right w:w="120" w:type="dxa"/>
            </w:tcMar>
          </w:tcPr>
          <w:p w14:paraId="42FF600D" w14:textId="77777777" w:rsidR="006A50BB" w:rsidRDefault="00000000">
            <w:pPr>
              <w:spacing w:line="264" w:lineRule="auto"/>
            </w:pPr>
            <w:r>
              <w:rPr>
                <w:sz w:val="22"/>
                <w:szCs w:val="22"/>
              </w:rPr>
              <w:t>A container-shipping line that has aggressively expanded into freight forwarding and integrated logistics (acquiring firms like LF Logistics), putting it in direct competition with DHL’s Global Forwarding and Supply Chain divisions — a useful thread for the course’s international-trade focus on ocean freight and trade flows.</w:t>
            </w:r>
          </w:p>
        </w:tc>
      </w:tr>
    </w:tbl>
    <w:p w14:paraId="659488D6" w14:textId="77777777" w:rsidR="006A50BB" w:rsidRDefault="00000000">
      <w:pPr>
        <w:spacing w:after="200" w:line="480" w:lineRule="auto"/>
      </w:pPr>
      <w:r>
        <w:t xml:space="preserve"> </w:t>
      </w:r>
    </w:p>
    <w:p w14:paraId="0B487FAB" w14:textId="77777777" w:rsidR="006A50BB" w:rsidRPr="00A85D44" w:rsidRDefault="00000000">
      <w:pPr>
        <w:pStyle w:val="Heading1"/>
        <w:spacing w:before="320" w:after="160"/>
        <w:rPr>
          <w:color w:val="000000" w:themeColor="text1"/>
        </w:rPr>
      </w:pPr>
      <w:r w:rsidRPr="00A85D44">
        <w:rPr>
          <w:b/>
          <w:bCs/>
          <w:color w:val="000000" w:themeColor="text1"/>
          <w:sz w:val="26"/>
          <w:szCs w:val="26"/>
        </w:rPr>
        <w:t>AI-Driven Research and Resources</w:t>
      </w:r>
    </w:p>
    <w:p w14:paraId="775689B3" w14:textId="77777777" w:rsidR="006A50BB" w:rsidRDefault="00000000">
      <w:pPr>
        <w:spacing w:after="200" w:line="480" w:lineRule="auto"/>
      </w:pPr>
      <w:r>
        <w:t>Three AI tools or platforms that could support future research into DHL Group’s leadership model, workforce demographics, and use of technology:</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280"/>
      </w:tblGrid>
      <w:tr w:rsidR="006A50BB" w14:paraId="57BFA197" w14:textId="77777777">
        <w:tblPrEx>
          <w:tblCellMar>
            <w:top w:w="0" w:type="dxa"/>
            <w:bottom w:w="0" w:type="dxa"/>
          </w:tblCellMar>
        </w:tblPrEx>
        <w:trPr>
          <w:cantSplit/>
          <w:tblHeader/>
        </w:trPr>
        <w:tc>
          <w:tcPr>
            <w:tcW w:w="2000" w:type="dxa"/>
            <w:shd w:val="clear" w:color="auto" w:fill="D9D9D9"/>
            <w:tcMar>
              <w:top w:w="100" w:type="dxa"/>
              <w:left w:w="120" w:type="dxa"/>
              <w:bottom w:w="100" w:type="dxa"/>
              <w:right w:w="120" w:type="dxa"/>
            </w:tcMar>
          </w:tcPr>
          <w:p w14:paraId="4DED9C46" w14:textId="77777777" w:rsidR="006A50BB" w:rsidRDefault="00000000">
            <w:pPr>
              <w:spacing w:line="264" w:lineRule="auto"/>
            </w:pPr>
            <w:r>
              <w:rPr>
                <w:b/>
                <w:bCs/>
                <w:sz w:val="22"/>
                <w:szCs w:val="22"/>
              </w:rPr>
              <w:t>Tool / Platform</w:t>
            </w:r>
          </w:p>
        </w:tc>
        <w:tc>
          <w:tcPr>
            <w:tcW w:w="1700" w:type="dxa"/>
            <w:shd w:val="clear" w:color="auto" w:fill="D9D9D9"/>
            <w:tcMar>
              <w:top w:w="100" w:type="dxa"/>
              <w:left w:w="120" w:type="dxa"/>
              <w:bottom w:w="100" w:type="dxa"/>
              <w:right w:w="120" w:type="dxa"/>
            </w:tcMar>
          </w:tcPr>
          <w:p w14:paraId="2F911A33" w14:textId="77777777" w:rsidR="006A50BB" w:rsidRDefault="00000000">
            <w:pPr>
              <w:spacing w:line="264" w:lineRule="auto"/>
            </w:pPr>
            <w:r>
              <w:rPr>
                <w:b/>
                <w:bCs/>
                <w:sz w:val="22"/>
                <w:szCs w:val="22"/>
              </w:rPr>
              <w:t>Category</w:t>
            </w:r>
          </w:p>
        </w:tc>
        <w:tc>
          <w:tcPr>
            <w:tcW w:w="5280" w:type="dxa"/>
            <w:shd w:val="clear" w:color="auto" w:fill="D9D9D9"/>
            <w:tcMar>
              <w:top w:w="100" w:type="dxa"/>
              <w:left w:w="120" w:type="dxa"/>
              <w:bottom w:w="100" w:type="dxa"/>
              <w:right w:w="120" w:type="dxa"/>
            </w:tcMar>
          </w:tcPr>
          <w:p w14:paraId="6CA6D82A" w14:textId="77777777" w:rsidR="006A50BB" w:rsidRDefault="00000000">
            <w:pPr>
              <w:spacing w:line="264" w:lineRule="auto"/>
            </w:pPr>
            <w:r>
              <w:rPr>
                <w:b/>
                <w:bCs/>
                <w:sz w:val="22"/>
                <w:szCs w:val="22"/>
              </w:rPr>
              <w:t>How It Enhances Understanding</w:t>
            </w:r>
          </w:p>
        </w:tc>
      </w:tr>
      <w:tr w:rsidR="006A50BB" w14:paraId="74976973" w14:textId="77777777">
        <w:tblPrEx>
          <w:tblCellMar>
            <w:top w:w="0" w:type="dxa"/>
            <w:bottom w:w="0" w:type="dxa"/>
          </w:tblCellMar>
        </w:tblPrEx>
        <w:trPr>
          <w:cantSplit/>
        </w:trPr>
        <w:tc>
          <w:tcPr>
            <w:tcW w:w="2000" w:type="dxa"/>
            <w:tcMar>
              <w:top w:w="100" w:type="dxa"/>
              <w:left w:w="120" w:type="dxa"/>
              <w:bottom w:w="100" w:type="dxa"/>
              <w:right w:w="120" w:type="dxa"/>
            </w:tcMar>
          </w:tcPr>
          <w:p w14:paraId="6DA71211" w14:textId="77777777" w:rsidR="006A50BB" w:rsidRDefault="00000000">
            <w:pPr>
              <w:spacing w:line="264" w:lineRule="auto"/>
            </w:pPr>
            <w:r>
              <w:rPr>
                <w:sz w:val="22"/>
                <w:szCs w:val="22"/>
              </w:rPr>
              <w:t>Perplexity AI</w:t>
            </w:r>
          </w:p>
        </w:tc>
        <w:tc>
          <w:tcPr>
            <w:tcW w:w="1700" w:type="dxa"/>
            <w:tcMar>
              <w:top w:w="100" w:type="dxa"/>
              <w:left w:w="120" w:type="dxa"/>
              <w:bottom w:w="100" w:type="dxa"/>
              <w:right w:w="120" w:type="dxa"/>
            </w:tcMar>
          </w:tcPr>
          <w:p w14:paraId="3D6D0BD0" w14:textId="77777777" w:rsidR="006A50BB" w:rsidRDefault="00000000">
            <w:pPr>
              <w:spacing w:line="264" w:lineRule="auto"/>
            </w:pPr>
            <w:r>
              <w:rPr>
                <w:sz w:val="22"/>
                <w:szCs w:val="22"/>
              </w:rPr>
              <w:t>NLP-based research / answer engine</w:t>
            </w:r>
          </w:p>
        </w:tc>
        <w:tc>
          <w:tcPr>
            <w:tcW w:w="5280" w:type="dxa"/>
            <w:tcMar>
              <w:top w:w="100" w:type="dxa"/>
              <w:left w:w="120" w:type="dxa"/>
              <w:bottom w:w="100" w:type="dxa"/>
              <w:right w:w="120" w:type="dxa"/>
            </w:tcMar>
          </w:tcPr>
          <w:p w14:paraId="1B6B0B26" w14:textId="77777777" w:rsidR="006A50BB" w:rsidRDefault="00000000">
            <w:pPr>
              <w:spacing w:line="264" w:lineRule="auto"/>
            </w:pPr>
            <w:r>
              <w:rPr>
                <w:sz w:val="22"/>
                <w:szCs w:val="22"/>
              </w:rPr>
              <w:t>Synthesizes current news, executive interviews, and press coverage into cited summaries in seconds — useful for tracking real-time statements from DHL Group leadership (e.g., CEO Tobias Meyer, whose contract was just extended to 2031) about Strategy 2030 and technology direction without manually combing dozens of articles each week.</w:t>
            </w:r>
          </w:p>
        </w:tc>
      </w:tr>
      <w:tr w:rsidR="006A50BB" w14:paraId="5DE97BB3" w14:textId="77777777">
        <w:tblPrEx>
          <w:tblCellMar>
            <w:top w:w="0" w:type="dxa"/>
            <w:bottom w:w="0" w:type="dxa"/>
          </w:tblCellMar>
        </w:tblPrEx>
        <w:trPr>
          <w:cantSplit/>
        </w:trPr>
        <w:tc>
          <w:tcPr>
            <w:tcW w:w="2000" w:type="dxa"/>
            <w:tcMar>
              <w:top w:w="100" w:type="dxa"/>
              <w:left w:w="120" w:type="dxa"/>
              <w:bottom w:w="100" w:type="dxa"/>
              <w:right w:w="120" w:type="dxa"/>
            </w:tcMar>
          </w:tcPr>
          <w:p w14:paraId="6FB546E7" w14:textId="77777777" w:rsidR="006A50BB" w:rsidRDefault="00000000" w:rsidP="00E621E8">
            <w:pPr>
              <w:spacing w:line="264" w:lineRule="auto"/>
              <w:ind w:left="720" w:hanging="720"/>
            </w:pPr>
            <w:proofErr w:type="spellStart"/>
            <w:r>
              <w:rPr>
                <w:sz w:val="22"/>
                <w:szCs w:val="22"/>
              </w:rPr>
              <w:t>AlphaSense</w:t>
            </w:r>
            <w:proofErr w:type="spellEnd"/>
          </w:p>
        </w:tc>
        <w:tc>
          <w:tcPr>
            <w:tcW w:w="1700" w:type="dxa"/>
            <w:tcMar>
              <w:top w:w="100" w:type="dxa"/>
              <w:left w:w="120" w:type="dxa"/>
              <w:bottom w:w="100" w:type="dxa"/>
              <w:right w:w="120" w:type="dxa"/>
            </w:tcMar>
          </w:tcPr>
          <w:p w14:paraId="186DFBF0" w14:textId="77777777" w:rsidR="006A50BB" w:rsidRDefault="00000000">
            <w:pPr>
              <w:spacing w:line="264" w:lineRule="auto"/>
            </w:pPr>
            <w:r>
              <w:rPr>
                <w:sz w:val="22"/>
                <w:szCs w:val="22"/>
              </w:rPr>
              <w:t>AI-driven market research / earnings-call intelligence platform</w:t>
            </w:r>
          </w:p>
        </w:tc>
        <w:tc>
          <w:tcPr>
            <w:tcW w:w="5280" w:type="dxa"/>
            <w:tcMar>
              <w:top w:w="100" w:type="dxa"/>
              <w:left w:w="120" w:type="dxa"/>
              <w:bottom w:w="100" w:type="dxa"/>
              <w:right w:w="120" w:type="dxa"/>
            </w:tcMar>
          </w:tcPr>
          <w:p w14:paraId="4E66EEF1" w14:textId="77777777" w:rsidR="006A50BB" w:rsidRDefault="00000000">
            <w:pPr>
              <w:spacing w:line="264" w:lineRule="auto"/>
            </w:pPr>
            <w:r>
              <w:rPr>
                <w:sz w:val="22"/>
                <w:szCs w:val="22"/>
              </w:rPr>
              <w:t>Uses natural language processing to search thousands of earnings call transcripts, financial filings, and expert-network interviews at once, surfacing how leadership’s language around technology investment (e.g., automation, sustainable aviation fuel, digital forwarding platforms) and strategic priorities shifts from quarter to quarter.</w:t>
            </w:r>
          </w:p>
        </w:tc>
      </w:tr>
      <w:tr w:rsidR="006A50BB" w14:paraId="676A88D1" w14:textId="77777777">
        <w:tblPrEx>
          <w:tblCellMar>
            <w:top w:w="0" w:type="dxa"/>
            <w:bottom w:w="0" w:type="dxa"/>
          </w:tblCellMar>
        </w:tblPrEx>
        <w:trPr>
          <w:cantSplit/>
        </w:trPr>
        <w:tc>
          <w:tcPr>
            <w:tcW w:w="2000" w:type="dxa"/>
            <w:tcMar>
              <w:top w:w="100" w:type="dxa"/>
              <w:left w:w="120" w:type="dxa"/>
              <w:bottom w:w="100" w:type="dxa"/>
              <w:right w:w="120" w:type="dxa"/>
            </w:tcMar>
          </w:tcPr>
          <w:p w14:paraId="613B6E4C" w14:textId="77777777" w:rsidR="006A50BB" w:rsidRDefault="00000000">
            <w:pPr>
              <w:spacing w:line="264" w:lineRule="auto"/>
            </w:pPr>
            <w:r>
              <w:rPr>
                <w:sz w:val="22"/>
                <w:szCs w:val="22"/>
              </w:rPr>
              <w:t>LinkedIn Talent Insights</w:t>
            </w:r>
          </w:p>
        </w:tc>
        <w:tc>
          <w:tcPr>
            <w:tcW w:w="1700" w:type="dxa"/>
            <w:tcMar>
              <w:top w:w="100" w:type="dxa"/>
              <w:left w:w="120" w:type="dxa"/>
              <w:bottom w:w="100" w:type="dxa"/>
              <w:right w:w="120" w:type="dxa"/>
            </w:tcMar>
          </w:tcPr>
          <w:p w14:paraId="40034582" w14:textId="77777777" w:rsidR="006A50BB" w:rsidRDefault="00000000">
            <w:pPr>
              <w:spacing w:line="264" w:lineRule="auto"/>
            </w:pPr>
            <w:r>
              <w:rPr>
                <w:sz w:val="22"/>
                <w:szCs w:val="22"/>
              </w:rPr>
              <w:t>AI-driven workforce / demographic analytics platform</w:t>
            </w:r>
          </w:p>
        </w:tc>
        <w:tc>
          <w:tcPr>
            <w:tcW w:w="5280" w:type="dxa"/>
            <w:tcMar>
              <w:top w:w="100" w:type="dxa"/>
              <w:left w:w="120" w:type="dxa"/>
              <w:bottom w:w="100" w:type="dxa"/>
              <w:right w:w="120" w:type="dxa"/>
            </w:tcMar>
          </w:tcPr>
          <w:p w14:paraId="588E5548" w14:textId="77777777" w:rsidR="006A50BB" w:rsidRDefault="00000000">
            <w:pPr>
              <w:spacing w:line="264" w:lineRule="auto"/>
            </w:pPr>
            <w:r>
              <w:rPr>
                <w:sz w:val="22"/>
                <w:szCs w:val="22"/>
              </w:rPr>
              <w:t>Applies predictive people-analytics to reveal headcount trends, hiring and attrition patterns, tenure, and leadership-team composition across DHL Group’s roughly 584,000-person global workforce — directly useful for the demographics and leadership-model angle of future assignments.</w:t>
            </w:r>
          </w:p>
        </w:tc>
      </w:tr>
    </w:tbl>
    <w:p w14:paraId="7D0F95B6" w14:textId="77777777" w:rsidR="006A50BB" w:rsidRDefault="00000000">
      <w:pPr>
        <w:spacing w:after="200" w:line="480" w:lineRule="auto"/>
      </w:pPr>
      <w:r>
        <w:t xml:space="preserve"> </w:t>
      </w:r>
    </w:p>
    <w:p w14:paraId="30BE0900" w14:textId="012F229A" w:rsidR="00E621E8" w:rsidRPr="00E621E8" w:rsidRDefault="00E621E8">
      <w:pPr>
        <w:pStyle w:val="Heading1"/>
        <w:spacing w:before="320" w:after="160"/>
        <w:rPr>
          <w:b/>
          <w:bCs/>
          <w:color w:val="000000" w:themeColor="text1"/>
          <w:sz w:val="26"/>
          <w:szCs w:val="26"/>
        </w:rPr>
      </w:pPr>
      <w:r>
        <w:rPr>
          <w:b/>
          <w:bCs/>
          <w:color w:val="000000" w:themeColor="text1"/>
          <w:sz w:val="26"/>
          <w:szCs w:val="26"/>
        </w:rPr>
        <w:lastRenderedPageBreak/>
        <w:t>Disclosure</w:t>
      </w:r>
    </w:p>
    <w:p w14:paraId="1C2F939F" w14:textId="35032046" w:rsidR="00E621E8" w:rsidRPr="00E621E8" w:rsidRDefault="00E621E8">
      <w:pPr>
        <w:pStyle w:val="Heading1"/>
        <w:spacing w:before="320" w:after="160"/>
        <w:rPr>
          <w:b/>
          <w:bCs/>
          <w:color w:val="000000" w:themeColor="text1"/>
          <w:sz w:val="24"/>
          <w:szCs w:val="24"/>
        </w:rPr>
      </w:pPr>
      <w:r w:rsidRPr="00E621E8">
        <w:rPr>
          <w:color w:val="001823"/>
          <w:sz w:val="24"/>
          <w:szCs w:val="24"/>
          <w:shd w:val="clear" w:color="auto" w:fill="FFFFFF"/>
        </w:rPr>
        <w:t xml:space="preserve">I used </w:t>
      </w:r>
      <w:r>
        <w:rPr>
          <w:color w:val="001823"/>
          <w:sz w:val="24"/>
          <w:szCs w:val="24"/>
          <w:shd w:val="clear" w:color="auto" w:fill="FFFFFF"/>
        </w:rPr>
        <w:t>Gemini in Google Search</w:t>
      </w:r>
      <w:r w:rsidRPr="00E621E8">
        <w:rPr>
          <w:color w:val="001823"/>
          <w:sz w:val="24"/>
          <w:szCs w:val="24"/>
          <w:shd w:val="clear" w:color="auto" w:fill="FFFFFF"/>
        </w:rPr>
        <w:t xml:space="preserve"> to brainstorm ideas</w:t>
      </w:r>
      <w:r>
        <w:rPr>
          <w:color w:val="001823"/>
          <w:sz w:val="24"/>
          <w:szCs w:val="24"/>
          <w:shd w:val="clear" w:color="auto" w:fill="FFFFFF"/>
        </w:rPr>
        <w:t xml:space="preserve"> and get started on references</w:t>
      </w:r>
      <w:r w:rsidRPr="00E621E8">
        <w:rPr>
          <w:color w:val="001823"/>
          <w:sz w:val="24"/>
          <w:szCs w:val="24"/>
          <w:shd w:val="clear" w:color="auto" w:fill="FFFFFF"/>
        </w:rPr>
        <w:t xml:space="preserve"> for this assignment and Grammarly to refine my writing.</w:t>
      </w:r>
    </w:p>
    <w:p w14:paraId="59EF5483" w14:textId="31AB858F" w:rsidR="006A50BB" w:rsidRDefault="00000000">
      <w:pPr>
        <w:pStyle w:val="Heading1"/>
        <w:spacing w:before="320" w:after="160"/>
        <w:rPr>
          <w:b/>
          <w:bCs/>
          <w:color w:val="000000" w:themeColor="text1"/>
          <w:sz w:val="26"/>
          <w:szCs w:val="26"/>
        </w:rPr>
      </w:pPr>
      <w:r w:rsidRPr="00A85D44">
        <w:rPr>
          <w:b/>
          <w:bCs/>
          <w:color w:val="000000" w:themeColor="text1"/>
          <w:sz w:val="26"/>
          <w:szCs w:val="26"/>
        </w:rPr>
        <w:t>References</w:t>
      </w:r>
    </w:p>
    <w:p w14:paraId="594CB586" w14:textId="05B86429" w:rsidR="00EA0F1F" w:rsidRPr="00EA0F1F" w:rsidRDefault="00EA0F1F" w:rsidP="00E621E8">
      <w:pPr>
        <w:pStyle w:val="Heading1"/>
        <w:spacing w:before="320" w:after="160" w:line="480" w:lineRule="auto"/>
        <w:rPr>
          <w:color w:val="000000" w:themeColor="text1"/>
          <w:sz w:val="24"/>
          <w:szCs w:val="24"/>
        </w:rPr>
      </w:pPr>
      <w:r w:rsidRPr="00EA0F1F">
        <w:rPr>
          <w:color w:val="000000" w:themeColor="text1"/>
          <w:sz w:val="24"/>
          <w:szCs w:val="24"/>
        </w:rPr>
        <w:t>Gale Resea</w:t>
      </w:r>
      <w:r w:rsidR="00E621E8">
        <w:rPr>
          <w:color w:val="000000" w:themeColor="text1"/>
          <w:sz w:val="24"/>
          <w:szCs w:val="24"/>
        </w:rPr>
        <w:t>r</w:t>
      </w:r>
      <w:r w:rsidRPr="00EA0F1F">
        <w:rPr>
          <w:color w:val="000000" w:themeColor="text1"/>
          <w:sz w:val="24"/>
          <w:szCs w:val="24"/>
        </w:rPr>
        <w:t>ch Complete(n.d.). Company profile, DHL, fro</w:t>
      </w:r>
      <w:r>
        <w:rPr>
          <w:color w:val="000000" w:themeColor="text1"/>
          <w:sz w:val="24"/>
          <w:szCs w:val="24"/>
        </w:rPr>
        <w:t xml:space="preserve">m </w:t>
      </w:r>
      <w:r w:rsidR="00E621E8">
        <w:rPr>
          <w:color w:val="000000" w:themeColor="text1"/>
          <w:sz w:val="24"/>
          <w:szCs w:val="24"/>
        </w:rPr>
        <w:t xml:space="preserve">   </w:t>
      </w:r>
      <w:r w:rsidRPr="00E621E8">
        <w:rPr>
          <w:color w:val="000000" w:themeColor="text1"/>
          <w:sz w:val="24"/>
          <w:szCs w:val="24"/>
        </w:rPr>
        <w:t>https://go.gale.com/ps/profileDocument?p=GBIB&amp;u=uphoenix&amp;type=Company&amp;docId=</w:t>
      </w:r>
      <w:r w:rsidRPr="00E621E8">
        <w:rPr>
          <w:color w:val="000000" w:themeColor="text1"/>
          <w:sz w:val="24"/>
          <w:szCs w:val="24"/>
        </w:rPr>
        <w:t xml:space="preserve">       </w:t>
      </w:r>
      <w:r w:rsidRPr="00EA0F1F">
        <w:rPr>
          <w:color w:val="000000" w:themeColor="text1"/>
          <w:sz w:val="24"/>
          <w:szCs w:val="24"/>
        </w:rPr>
        <w:t>TFQPFV945513095</w:t>
      </w:r>
    </w:p>
    <w:p w14:paraId="4D8A06EC" w14:textId="3256E20F" w:rsidR="006A50BB" w:rsidRDefault="00000000">
      <w:pPr>
        <w:spacing w:line="480" w:lineRule="auto"/>
        <w:ind w:left="720" w:hanging="720"/>
      </w:pPr>
      <w:r>
        <w:t>DHL Group. (n.d.-a). About us. Retrieved September 15, 2026, from</w:t>
      </w:r>
      <w:r w:rsidR="00EA0F1F">
        <w:t xml:space="preserve"> </w:t>
      </w:r>
      <w:r>
        <w:t>https://group.dhl.com/en/about-us.html</w:t>
      </w:r>
    </w:p>
    <w:p w14:paraId="433863B3" w14:textId="77777777" w:rsidR="006A50BB" w:rsidRDefault="00000000">
      <w:pPr>
        <w:spacing w:line="480" w:lineRule="auto"/>
        <w:ind w:left="720" w:hanging="720"/>
      </w:pPr>
      <w:r>
        <w:t>DHL Group. (n.d.-b). History. Retrieved September 15, 2026, from https://group.dhl.com/en/about-us/the-group/history.html</w:t>
      </w:r>
    </w:p>
    <w:p w14:paraId="6555AD4E" w14:textId="77777777" w:rsidR="006A50BB" w:rsidRDefault="00000000">
      <w:pPr>
        <w:spacing w:line="480" w:lineRule="auto"/>
        <w:ind w:left="720" w:hanging="720"/>
      </w:pPr>
      <w:r>
        <w:t>DHL Group. (2023). Connecting people. Improving lives. [ESG sustainability presentation]. https://reporting-hub.group.dhl.com/ecomaXL/files/DHL-Group_ESG-2023-Presentation_final.pdf</w:t>
      </w:r>
    </w:p>
    <w:p w14:paraId="22E67D07" w14:textId="77777777" w:rsidR="006A50BB" w:rsidRDefault="00000000">
      <w:pPr>
        <w:spacing w:line="480" w:lineRule="auto"/>
        <w:ind w:left="720" w:hanging="720"/>
      </w:pPr>
      <w:r>
        <w:t>DHL Group. (2026, March 4). DHL Group extends contract of CEO Tobias Meyer [Press release]. https://group.dhl.com/en/media-relations/press-releases/2026/dhl-group-extends-contract-of-ceo-tobias-meyer.html</w:t>
      </w:r>
    </w:p>
    <w:p w14:paraId="7F573A66" w14:textId="77777777" w:rsidR="006A50BB" w:rsidRDefault="00000000">
      <w:pPr>
        <w:spacing w:line="480" w:lineRule="auto"/>
        <w:ind w:left="720" w:hanging="720"/>
      </w:pPr>
      <w:r>
        <w:t>Marketing91. (2025). SWOT analysis of DHL (updated 2025). Retrieved September 15, 2026, from https://www.marketing91.com/swot-analysis-dhl/</w:t>
      </w:r>
    </w:p>
    <w:p w14:paraId="5068587C" w14:textId="77777777" w:rsidR="006A50BB" w:rsidRDefault="00000000">
      <w:pPr>
        <w:spacing w:line="480" w:lineRule="auto"/>
        <w:ind w:left="720" w:hanging="720"/>
      </w:pPr>
      <w:r>
        <w:t>The Strategy Story. (n.d.). DHL SWOT analysis. Retrieved September 15, 2026, from https://thestrategystory.com/blog/dhl-swot-analysis/</w:t>
      </w:r>
    </w:p>
    <w:sectPr w:rsidR="006A50B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C637" w14:textId="77777777" w:rsidR="004F64A7" w:rsidRDefault="004F64A7">
      <w:r>
        <w:separator/>
      </w:r>
    </w:p>
  </w:endnote>
  <w:endnote w:type="continuationSeparator" w:id="0">
    <w:p w14:paraId="26306FF8" w14:textId="77777777" w:rsidR="004F64A7" w:rsidRDefault="004F6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6415" w14:textId="77777777" w:rsidR="004F64A7" w:rsidRDefault="004F64A7">
      <w:r>
        <w:separator/>
      </w:r>
    </w:p>
  </w:footnote>
  <w:footnote w:type="continuationSeparator" w:id="0">
    <w:p w14:paraId="66B0ECF7" w14:textId="77777777" w:rsidR="004F64A7" w:rsidRDefault="004F6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41D6" w14:textId="77777777" w:rsidR="006A50BB" w:rsidRDefault="00000000">
    <w:pPr>
      <w:jc w:val="right"/>
    </w:pPr>
    <w:r>
      <w:rPr>
        <w:sz w:val="20"/>
        <w:szCs w:val="20"/>
      </w:rPr>
      <w:t xml:space="preserve">DHL GROUP ORGANIZATION OVERVIEW   </w:t>
    </w:r>
    <w:r>
      <w:rPr>
        <w:sz w:val="20"/>
        <w:szCs w:val="20"/>
      </w:rPr>
      <w:fldChar w:fldCharType="begin"/>
    </w:r>
    <w:r>
      <w:rPr>
        <w:sz w:val="20"/>
        <w:szCs w:val="20"/>
      </w:rPr>
      <w:instrText>PAGE</w:instrText>
    </w:r>
    <w:r>
      <w:rPr>
        <w:sz w:val="20"/>
        <w:szCs w:val="20"/>
      </w:rPr>
      <w:fldChar w:fldCharType="separate"/>
    </w:r>
    <w:r w:rsidR="007C3517">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C51D1"/>
    <w:multiLevelType w:val="hybridMultilevel"/>
    <w:tmpl w:val="ED847D52"/>
    <w:lvl w:ilvl="0" w:tplc="4CEAFCC0">
      <w:start w:val="1"/>
      <w:numFmt w:val="bullet"/>
      <w:lvlText w:val="●"/>
      <w:lvlJc w:val="left"/>
      <w:pPr>
        <w:ind w:left="720" w:hanging="360"/>
      </w:pPr>
    </w:lvl>
    <w:lvl w:ilvl="1" w:tplc="17269346">
      <w:start w:val="1"/>
      <w:numFmt w:val="bullet"/>
      <w:lvlText w:val="○"/>
      <w:lvlJc w:val="left"/>
      <w:pPr>
        <w:ind w:left="1440" w:hanging="360"/>
      </w:pPr>
    </w:lvl>
    <w:lvl w:ilvl="2" w:tplc="6ED8F624">
      <w:start w:val="1"/>
      <w:numFmt w:val="bullet"/>
      <w:lvlText w:val="■"/>
      <w:lvlJc w:val="left"/>
      <w:pPr>
        <w:ind w:left="2160" w:hanging="360"/>
      </w:pPr>
    </w:lvl>
    <w:lvl w:ilvl="3" w:tplc="8922581C">
      <w:start w:val="1"/>
      <w:numFmt w:val="bullet"/>
      <w:lvlText w:val="●"/>
      <w:lvlJc w:val="left"/>
      <w:pPr>
        <w:ind w:left="2880" w:hanging="360"/>
      </w:pPr>
    </w:lvl>
    <w:lvl w:ilvl="4" w:tplc="C07250C0">
      <w:start w:val="1"/>
      <w:numFmt w:val="bullet"/>
      <w:lvlText w:val="○"/>
      <w:lvlJc w:val="left"/>
      <w:pPr>
        <w:ind w:left="3600" w:hanging="360"/>
      </w:pPr>
    </w:lvl>
    <w:lvl w:ilvl="5" w:tplc="6638F9B8">
      <w:start w:val="1"/>
      <w:numFmt w:val="bullet"/>
      <w:lvlText w:val="■"/>
      <w:lvlJc w:val="left"/>
      <w:pPr>
        <w:ind w:left="4320" w:hanging="360"/>
      </w:pPr>
    </w:lvl>
    <w:lvl w:ilvl="6" w:tplc="9028E34E">
      <w:start w:val="1"/>
      <w:numFmt w:val="bullet"/>
      <w:lvlText w:val="●"/>
      <w:lvlJc w:val="left"/>
      <w:pPr>
        <w:ind w:left="5040" w:hanging="360"/>
      </w:pPr>
    </w:lvl>
    <w:lvl w:ilvl="7" w:tplc="CD640A08">
      <w:start w:val="1"/>
      <w:numFmt w:val="bullet"/>
      <w:lvlText w:val="●"/>
      <w:lvlJc w:val="left"/>
      <w:pPr>
        <w:ind w:left="5760" w:hanging="360"/>
      </w:pPr>
    </w:lvl>
    <w:lvl w:ilvl="8" w:tplc="259E7604">
      <w:start w:val="1"/>
      <w:numFmt w:val="bullet"/>
      <w:lvlText w:val="●"/>
      <w:lvlJc w:val="left"/>
      <w:pPr>
        <w:ind w:left="6480" w:hanging="360"/>
      </w:pPr>
    </w:lvl>
  </w:abstractNum>
  <w:num w:numId="1" w16cid:durableId="1252011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0BB"/>
    <w:rsid w:val="003F2C1C"/>
    <w:rsid w:val="004F64A7"/>
    <w:rsid w:val="006A50BB"/>
    <w:rsid w:val="007C3517"/>
    <w:rsid w:val="00A85D44"/>
    <w:rsid w:val="00CB0DE7"/>
    <w:rsid w:val="00E621E8"/>
    <w:rsid w:val="00EA0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CC60"/>
  <w15:docId w15:val="{39407B70-5C9A-E044-BDBB-18F7D7F8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EA0F1F"/>
    <w:rPr>
      <w:color w:val="96607D" w:themeColor="followedHyperlink"/>
      <w:u w:val="single"/>
    </w:rPr>
  </w:style>
  <w:style w:type="character" w:styleId="UnresolvedMention">
    <w:name w:val="Unresolved Mention"/>
    <w:basedOn w:val="DefaultParagraphFont"/>
    <w:uiPriority w:val="99"/>
    <w:semiHidden/>
    <w:unhideWhenUsed/>
    <w:rsid w:val="00EA0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 Gajanan Mohite</cp:lastModifiedBy>
  <cp:revision>4</cp:revision>
  <dcterms:created xsi:type="dcterms:W3CDTF">2026-09-15T04:49:00Z</dcterms:created>
  <dcterms:modified xsi:type="dcterms:W3CDTF">2026-09-15T05:30:00Z</dcterms:modified>
</cp:coreProperties>
</file>