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8346" w14:textId="77777777" w:rsidR="00B657A0" w:rsidRDefault="00B657A0"/>
    <w:p w14:paraId="67FCD1CB" w14:textId="77777777" w:rsidR="00B657A0" w:rsidRDefault="00B657A0"/>
    <w:p w14:paraId="69094FE2" w14:textId="77777777" w:rsidR="00B657A0" w:rsidRDefault="00B657A0"/>
    <w:p w14:paraId="354E3632" w14:textId="0CB9FC93" w:rsidR="00B657A0" w:rsidRPr="00EB1ACD" w:rsidRDefault="00EB1ACD" w:rsidP="00EB1ACD">
      <w:pPr>
        <w:pStyle w:val="Heading1"/>
        <w:shd w:val="clear" w:color="auto" w:fill="FFFFFF"/>
        <w:rPr>
          <w:rFonts w:ascii="Noto Serif" w:hAnsi="Noto Serif" w:cs="Noto Serif"/>
          <w:color w:val="262626"/>
        </w:rPr>
      </w:pPr>
      <w:proofErr w:type="spellStart"/>
      <w:r w:rsidRPr="00EB1ACD">
        <w:rPr>
          <w:rFonts w:ascii="Noto Serif" w:hAnsi="Noto Serif" w:cs="Noto Serif"/>
          <w:color w:val="262626"/>
        </w:rPr>
        <w:t>Wk</w:t>
      </w:r>
      <w:proofErr w:type="spellEnd"/>
      <w:r w:rsidRPr="00EB1ACD">
        <w:rPr>
          <w:rFonts w:ascii="Noto Serif" w:hAnsi="Noto Serif" w:cs="Noto Serif"/>
          <w:color w:val="262626"/>
        </w:rPr>
        <w:t xml:space="preserve"> 3 Summative Assessment: Business Strategies Article</w:t>
      </w:r>
    </w:p>
    <w:p w14:paraId="1481E440" w14:textId="77777777" w:rsidR="00B657A0" w:rsidRDefault="00000000">
      <w:pPr>
        <w:jc w:val="center"/>
      </w:pPr>
      <w:r>
        <w:t>Amar Mohite</w:t>
      </w:r>
    </w:p>
    <w:p w14:paraId="561E14AF" w14:textId="77777777" w:rsidR="00B657A0" w:rsidRDefault="00000000">
      <w:pPr>
        <w:jc w:val="center"/>
      </w:pPr>
      <w:r>
        <w:t>University of Phoenix</w:t>
      </w:r>
    </w:p>
    <w:p w14:paraId="5B0C6892" w14:textId="77777777" w:rsidR="00B657A0" w:rsidRDefault="00000000">
      <w:pPr>
        <w:jc w:val="center"/>
      </w:pPr>
      <w:r>
        <w:t>MGT/526: Managing in a Changing Environment</w:t>
      </w:r>
    </w:p>
    <w:p w14:paraId="06149191" w14:textId="77777777" w:rsidR="00B657A0" w:rsidRDefault="00000000">
      <w:pPr>
        <w:jc w:val="center"/>
      </w:pPr>
      <w:r>
        <w:t>September 28, 2026</w:t>
      </w:r>
    </w:p>
    <w:p w14:paraId="5E212A10" w14:textId="77777777" w:rsidR="00B657A0" w:rsidRDefault="00000000">
      <w:r>
        <w:br w:type="page"/>
      </w:r>
    </w:p>
    <w:p w14:paraId="6CB3F9BC" w14:textId="77777777" w:rsidR="00B657A0" w:rsidRDefault="00000000" w:rsidP="00EB1ACD">
      <w:pPr>
        <w:pStyle w:val="Heading1"/>
        <w:jc w:val="left"/>
      </w:pPr>
      <w:r>
        <w:lastRenderedPageBreak/>
        <w:t>Industry Context</w:t>
      </w:r>
    </w:p>
    <w:p w14:paraId="4F8093B6" w14:textId="77777777" w:rsidR="00B657A0" w:rsidRDefault="00000000">
      <w:pPr>
        <w:pStyle w:val="Heading2"/>
      </w:pPr>
      <w:r>
        <w:t>Overview</w:t>
      </w:r>
    </w:p>
    <w:p w14:paraId="12AF950C" w14:textId="4E723F74" w:rsidR="00B657A0" w:rsidRDefault="00000000">
      <w:pPr>
        <w:ind w:firstLine="720"/>
      </w:pPr>
      <w:r>
        <w:t xml:space="preserve">Every logistics company owns a strategy slide promising faster, cheaper, and greener. Then </w:t>
      </w:r>
      <w:r w:rsidR="00EB1ACD">
        <w:t xml:space="preserve">mishaps and delays </w:t>
      </w:r>
      <w:proofErr w:type="gramStart"/>
      <w:r w:rsidR="00EB1ACD">
        <w:t>happens</w:t>
      </w:r>
      <w:proofErr w:type="gramEnd"/>
      <w:r>
        <w:t>, a customs form is wrong, and a truck runs late. The gap between that slide and that truck is where margins go to die. The scale is enormous: global logistics costs hit about $12.96 trillion in 2025, and third-party providers captured $1.30 trillion of it, roughly 10% (Armstrong &amp; Associates, 2026). Whatever the sector, the job is the same: turning strategy into thousands of daily decisions.</w:t>
      </w:r>
      <w:r w:rsidR="00EB1ACD">
        <w:t xml:space="preserve"> Their core functionalities are transportation, warehousing, order fulfillment, custom clearance, etc. </w:t>
      </w:r>
    </w:p>
    <w:p w14:paraId="646286A1" w14:textId="77777777" w:rsidR="00EB1ACD" w:rsidRDefault="00EB1ACD">
      <w:pPr>
        <w:ind w:firstLine="720"/>
      </w:pPr>
    </w:p>
    <w:p w14:paraId="74F59E5C" w14:textId="23A76F9F" w:rsidR="00B657A0" w:rsidRDefault="00000000">
      <w:pPr>
        <w:pStyle w:val="Heading2"/>
      </w:pPr>
      <w:r>
        <w:t xml:space="preserve">Challenges in Aligning Operations </w:t>
      </w:r>
      <w:proofErr w:type="gramStart"/>
      <w:r>
        <w:t>With</w:t>
      </w:r>
      <w:proofErr w:type="gramEnd"/>
      <w:r>
        <w:t xml:space="preserve"> Strategy</w:t>
      </w:r>
    </w:p>
    <w:p w14:paraId="0DC927AF" w14:textId="07567C1C" w:rsidR="00B657A0" w:rsidRDefault="00000000">
      <w:pPr>
        <w:pStyle w:val="ListParagraph"/>
        <w:numPr>
          <w:ilvl w:val="0"/>
          <w:numId w:val="2"/>
        </w:numPr>
      </w:pPr>
      <w:r>
        <w:rPr>
          <w:i/>
          <w:iCs/>
        </w:rPr>
        <w:t xml:space="preserve">Volatile trade flows. </w:t>
      </w:r>
      <w:r>
        <w:t>Strategy assumes a stable map, but the map keeps redrawing. The U.S. import share from China fell from a 22% peak in 2017 to 9% through September 2025 (Altman &amp; Bastian, 2026), so network plans expire faster than annual planning cycles.</w:t>
      </w:r>
      <w:r w:rsidR="00077A51">
        <w:t xml:space="preserve"> Also, this year with global trade disruption caused by wars </w:t>
      </w:r>
      <w:proofErr w:type="gramStart"/>
      <w:r w:rsidR="00077A51">
        <w:t>are</w:t>
      </w:r>
      <w:proofErr w:type="gramEnd"/>
      <w:r w:rsidR="00077A51">
        <w:t xml:space="preserve"> another massive impact on the trade flows. Blockage of two major sea trade passages, one Strait of Hormuz and Bab-el-</w:t>
      </w:r>
      <w:proofErr w:type="gramStart"/>
      <w:r w:rsidR="00077A51">
        <w:t>Mandeb(</w:t>
      </w:r>
      <w:proofErr w:type="gramEnd"/>
      <w:r w:rsidR="00077A51">
        <w:t>Gate of tears) are blocked/closed by Iran and Houthi forces which has disrupted global trade roughly 13-14% and crude oil prices soaring to $105 from 68$ last year (CNN, 2026).</w:t>
      </w:r>
    </w:p>
    <w:p w14:paraId="79042C94" w14:textId="30F9105C" w:rsidR="00B657A0" w:rsidRDefault="00000000">
      <w:pPr>
        <w:pStyle w:val="ListParagraph"/>
        <w:numPr>
          <w:ilvl w:val="0"/>
          <w:numId w:val="2"/>
        </w:numPr>
      </w:pPr>
      <w:r>
        <w:rPr>
          <w:i/>
          <w:iCs/>
        </w:rPr>
        <w:t xml:space="preserve">Fragmented data. </w:t>
      </w:r>
      <w:r>
        <w:t>Quotes, tracking, customs, and billing sit in separate legacy systems, so no one trusts a single version of the truth. Leaders rank real-time data needs among their top challenges (MHI, 2026).</w:t>
      </w:r>
      <w:r w:rsidR="00795390">
        <w:t xml:space="preserve"> Also, </w:t>
      </w:r>
      <w:r w:rsidR="00795390" w:rsidRPr="00795390">
        <w:t>"Digital borders" and regulations More pre-</w:t>
      </w:r>
      <w:proofErr w:type="spellStart"/>
      <w:r w:rsidR="00795390" w:rsidRPr="00795390">
        <w:t>lodgement</w:t>
      </w:r>
      <w:proofErr w:type="spellEnd"/>
      <w:r w:rsidR="00795390" w:rsidRPr="00795390">
        <w:t xml:space="preserve">, data exchange, and audit trails are all part of the ongoing evolution of </w:t>
      </w:r>
      <w:r w:rsidR="00795390" w:rsidRPr="00795390">
        <w:lastRenderedPageBreak/>
        <w:t>customs and security regimes. Create compliance by design with clear ownership of filings, clean master data, and brief refresher training for anybody handling declarations and papers.</w:t>
      </w:r>
    </w:p>
    <w:p w14:paraId="302F18F6" w14:textId="77777777" w:rsidR="00B657A0" w:rsidRDefault="00000000">
      <w:pPr>
        <w:pStyle w:val="ListParagraph"/>
        <w:numPr>
          <w:ilvl w:val="0"/>
          <w:numId w:val="2"/>
        </w:numPr>
      </w:pPr>
      <w:r>
        <w:rPr>
          <w:i/>
          <w:iCs/>
        </w:rPr>
        <w:t xml:space="preserve">Blind spots across partners. </w:t>
      </w:r>
      <w:r>
        <w:t xml:space="preserve">One shipment </w:t>
      </w:r>
      <w:proofErr w:type="gramStart"/>
      <w:r>
        <w:t>touches</w:t>
      </w:r>
      <w:proofErr w:type="gramEnd"/>
      <w:r>
        <w:t xml:space="preserve"> carriers, brokers, and customs agents, so headquarters rarely sees where strategy breaks. Visibility and resilience also make MHI's (2026) list.</w:t>
      </w:r>
    </w:p>
    <w:p w14:paraId="19DD5E20" w14:textId="3FFADB1F" w:rsidR="00B657A0" w:rsidRDefault="00000000">
      <w:pPr>
        <w:pStyle w:val="ListParagraph"/>
        <w:numPr>
          <w:ilvl w:val="0"/>
          <w:numId w:val="2"/>
        </w:numPr>
      </w:pPr>
      <w:r>
        <w:rPr>
          <w:i/>
          <w:iCs/>
        </w:rPr>
        <w:t xml:space="preserve">Talent and skills gaps. </w:t>
      </w:r>
      <w:r>
        <w:t>Workforce shortages rank second on that same list (MHI, 2026). The people who must run a new strategy are often too stretched to learn it.</w:t>
      </w:r>
      <w:r w:rsidR="00733827">
        <w:t xml:space="preserve"> </w:t>
      </w:r>
      <w:r w:rsidR="00733827" w:rsidRPr="00733827">
        <w:t>It's still difficult to find drivers, dependable warehouse workers, and new digital skill sets. Smarter onboarding and upskilling are the answers, not just hiring. To keep skills current without taking workers off the floor, cross-train teams, standardize SOPs, and employ micro-learning.</w:t>
      </w:r>
    </w:p>
    <w:p w14:paraId="5C70B369" w14:textId="77777777" w:rsidR="00B657A0" w:rsidRDefault="00000000">
      <w:pPr>
        <w:pStyle w:val="ListParagraph"/>
        <w:numPr>
          <w:ilvl w:val="0"/>
          <w:numId w:val="2"/>
        </w:numPr>
      </w:pPr>
      <w:r>
        <w:rPr>
          <w:i/>
          <w:iCs/>
        </w:rPr>
        <w:t xml:space="preserve">Competing goals. </w:t>
      </w:r>
      <w:r>
        <w:t>Customers want speed, finance wants low cost, and sustainability remains a core priority (DHL Group, 2026). Without a shared way to weigh trade-offs, each site crowns its own winner.</w:t>
      </w:r>
    </w:p>
    <w:p w14:paraId="6A9FAF6A" w14:textId="77777777" w:rsidR="00B657A0" w:rsidRDefault="00000000">
      <w:pPr>
        <w:pStyle w:val="Heading1"/>
      </w:pPr>
      <w:r>
        <w:t>Opportunities</w:t>
      </w:r>
    </w:p>
    <w:p w14:paraId="0B196168" w14:textId="77777777" w:rsidR="00B657A0" w:rsidRDefault="00000000">
      <w:pPr>
        <w:ind w:firstLine="720"/>
      </w:pPr>
      <w:r>
        <w:t>Two levers can lower the cost of complex problem-solving, the price of getting experts to untangle messy situations.</w:t>
      </w:r>
    </w:p>
    <w:p w14:paraId="67BA9BD6" w14:textId="77777777" w:rsidR="00B657A0" w:rsidRDefault="00000000">
      <w:pPr>
        <w:pStyle w:val="Heading2"/>
      </w:pPr>
      <w:r>
        <w:t>Generative AI</w:t>
      </w:r>
    </w:p>
    <w:p w14:paraId="7CF93E66" w14:textId="77777777" w:rsidR="00B657A0" w:rsidRDefault="00000000">
      <w:pPr>
        <w:ind w:firstLine="720"/>
      </w:pPr>
      <w:r>
        <w:t>Generative AI makes expert judgment cheaper. Agents can read a tangled email, draft a quote, or explain a customs hold in plain language. BCG reports generative AI can cut costs 15% to 45% across procurement categories and speed data analysis by about 90% (</w:t>
      </w:r>
      <w:proofErr w:type="spellStart"/>
      <w:r>
        <w:t>Schnellbächer</w:t>
      </w:r>
      <w:proofErr w:type="spellEnd"/>
      <w:r>
        <w:t xml:space="preserve"> et </w:t>
      </w:r>
      <w:r>
        <w:lastRenderedPageBreak/>
        <w:t>al., 2025). For alignment, routine decisions follow strategy consistently, and planners spend their hours on trade-offs instead of inbox triage.</w:t>
      </w:r>
    </w:p>
    <w:p w14:paraId="00DBD136" w14:textId="77777777" w:rsidR="00B657A0" w:rsidRDefault="00000000">
      <w:pPr>
        <w:pStyle w:val="Heading2"/>
      </w:pPr>
      <w:r>
        <w:t>Predictive and Optimization AI</w:t>
      </w:r>
    </w:p>
    <w:p w14:paraId="0BF5A55D" w14:textId="77777777" w:rsidR="00B657A0" w:rsidRDefault="00000000">
      <w:pPr>
        <w:ind w:firstLine="720"/>
      </w:pPr>
      <w:r>
        <w:t>Predictive and optimization AI lets planners rehearse decisions before paying for them. McKinsey found early adopters of AI-enabled supply chain management improved logistics costs by 15%, inventory levels by 35%, and service levels by 65% versus slower rivals (</w:t>
      </w:r>
      <w:proofErr w:type="spellStart"/>
      <w:r>
        <w:t>Alicke</w:t>
      </w:r>
      <w:proofErr w:type="spellEnd"/>
      <w:r>
        <w:t xml:space="preserve"> et al., 2021). Forecasts tie inventory and capacity to strategic targets rather than last year's spreadsheet, though BCG cautions that today's value comes from these foundations, not “lights-out” planning (Garro et al., 2026).</w:t>
      </w:r>
    </w:p>
    <w:p w14:paraId="69D5A2B9" w14:textId="77777777" w:rsidR="00B657A0" w:rsidRDefault="00000000">
      <w:pPr>
        <w:pStyle w:val="Heading1"/>
      </w:pPr>
      <w:r>
        <w:t>Case Study: C.H. Robinson</w:t>
      </w:r>
    </w:p>
    <w:p w14:paraId="43D0728E" w14:textId="77777777" w:rsidR="00B657A0" w:rsidRDefault="00000000">
      <w:pPr>
        <w:ind w:firstLine="720"/>
      </w:pPr>
      <w:r>
        <w:t>C.H. Robinson, a freight broker, shows the payoff. Its “Lean AI” strategy embeds agents across pricing, orders, capacity sourcing, pickup appointments, tracking, documents, and invoicing (C.H. Robinson Worldwide, Inc., 2026b). Quotes that once took specialists 20 minutes now take 31 seconds (Kahn, 2026). The gains reached the income statement. In Q2 2026, the company reported productivity up over 60% since the end of 2022 in North American surface transportation and Global Forwarding, adjusted operating income up 19.5%, and average headcount down 10.8%, all during a freight downturn (C.H. Robinson Worldwide, Inc., 2026a).</w:t>
      </w:r>
    </w:p>
    <w:p w14:paraId="2EC77D91" w14:textId="77777777" w:rsidR="00B657A0" w:rsidRDefault="00000000">
      <w:pPr>
        <w:ind w:firstLine="720"/>
      </w:pPr>
      <w:r>
        <w:t>Three things made it work. Leaders started with a strategic goal, removing waste, rather than a shiny tool. The models learn from decades of proprietary shipment data (C.H. Robinson Worldwide, Inc., 2026a, 2026b). And the company employs about 450 engineers, built almost all its agents in-house, and shifted hiring toward higher-value roles (Kahn, 2026).</w:t>
      </w:r>
    </w:p>
    <w:p w14:paraId="3628DE32" w14:textId="77777777" w:rsidR="00B657A0" w:rsidRDefault="00000000">
      <w:pPr>
        <w:pStyle w:val="Heading1"/>
      </w:pPr>
      <w:r>
        <w:lastRenderedPageBreak/>
        <w:t>Initiative Recommendations</w:t>
      </w:r>
    </w:p>
    <w:p w14:paraId="58E0F8AF" w14:textId="77777777" w:rsidR="00B657A0" w:rsidRDefault="00000000">
      <w:pPr>
        <w:pStyle w:val="Heading2"/>
      </w:pPr>
      <w:r>
        <w:t>Initiative 1: A Strategy-Aware AI Exception Desk (AI-Driven)</w:t>
      </w:r>
    </w:p>
    <w:p w14:paraId="49B12738" w14:textId="77777777" w:rsidR="00B657A0" w:rsidRDefault="00000000">
      <w:pPr>
        <w:ind w:firstLine="720"/>
      </w:pPr>
      <w:r>
        <w:t xml:space="preserve">Customs holds, missed pickups, and weather delays drain planner time. An AI agent would triage each exception, propose the fix that best matches stated priorities (cost ceiling, delivery promise, carbon budget), and ask a human to approve anything </w:t>
      </w:r>
      <w:proofErr w:type="gramStart"/>
      <w:r>
        <w:t>high-stakes</w:t>
      </w:r>
      <w:proofErr w:type="gramEnd"/>
      <w:r>
        <w:t>. DHL's Logistics Trend Radar describes this shift from AI that informs to AI that acts under human oversight (DHL Group, 2026). Each fix rolls up to a scorecard tied to strategy.</w:t>
      </w:r>
    </w:p>
    <w:p w14:paraId="2C3A5A6C" w14:textId="77777777" w:rsidR="00B657A0" w:rsidRDefault="00000000">
      <w:pPr>
        <w:pStyle w:val="Heading2"/>
      </w:pPr>
      <w:r>
        <w:t>Initiative 2: An Industry Data Spine (Non-AI)</w:t>
      </w:r>
    </w:p>
    <w:p w14:paraId="55ABBB39" w14:textId="77777777" w:rsidR="00B657A0" w:rsidRDefault="00000000">
      <w:pPr>
        <w:ind w:firstLine="720"/>
      </w:pPr>
      <w:r>
        <w:t>Carriers, brokers, ports, and customs agents adopt common data standards and shared interfaces, giving each company one trusted record per shipment. This tackles challenges two and three and gives every later AI project a trustworthy base (Garro et al., 2026).</w:t>
      </w:r>
    </w:p>
    <w:p w14:paraId="383A5951" w14:textId="77777777" w:rsidR="00B657A0" w:rsidRDefault="00000000">
      <w:pPr>
        <w:pStyle w:val="Heading1"/>
      </w:pPr>
      <w:r>
        <w:t>Implementation Barriers</w:t>
      </w:r>
    </w:p>
    <w:p w14:paraId="31814993" w14:textId="77777777" w:rsidR="00B657A0" w:rsidRDefault="00000000">
      <w:pPr>
        <w:pStyle w:val="Heading2"/>
      </w:pPr>
      <w:r>
        <w:t>Initiative 1</w:t>
      </w:r>
    </w:p>
    <w:p w14:paraId="47F05B60" w14:textId="77777777" w:rsidR="00B657A0" w:rsidRDefault="00000000">
      <w:pPr>
        <w:ind w:firstLine="720"/>
      </w:pPr>
      <w:r>
        <w:t>Gartner predicts over 40% of agentic AI projects will be canceled by the end of 2027 because of escalating costs, unclear value, and weak risk controls (Gartner, 2025). The remedy: start with one high-volume workflow with measurable payback, as C.H. Robinson did with quotes, and fund expansion from savings. Employees may fear replacement, and MHI (2026) lists limited AI understanding and talent shortages as barriers. Co-design with dispatchers, promise redeployment, and let turnover, not layoffs, absorb efficiency gains. Ethical risks include biased prioritization, privacy exposure, and unclear accountability when an agent errs; human approval thresholds, audit logs, and periodic fairness reviews keep those in check.</w:t>
      </w:r>
    </w:p>
    <w:p w14:paraId="6AEE5CF2" w14:textId="77777777" w:rsidR="00B657A0" w:rsidRDefault="00000000">
      <w:pPr>
        <w:pStyle w:val="Heading2"/>
      </w:pPr>
      <w:r>
        <w:lastRenderedPageBreak/>
        <w:t>Initiative 2</w:t>
      </w:r>
    </w:p>
    <w:p w14:paraId="55709F68" w14:textId="77777777" w:rsidR="00B657A0" w:rsidRDefault="00000000">
      <w:pPr>
        <w:ind w:firstLine="720"/>
      </w:pPr>
      <w:r>
        <w:t>The obstacles are integration cost and trust. Legacy systems resist connection, and rivals hesitate to share data. Begin with one trade lane and non-sensitive fields, use neutral governance, encrypt everything, and expand as benefits show. Cybersecurity already sits among leaders' top five concerns (MHI, 2026).</w:t>
      </w:r>
    </w:p>
    <w:p w14:paraId="5CA03D69" w14:textId="77777777" w:rsidR="00B657A0" w:rsidRDefault="00000000">
      <w:r>
        <w:br w:type="page"/>
      </w:r>
    </w:p>
    <w:p w14:paraId="0A60BCD0" w14:textId="77777777" w:rsidR="00B657A0" w:rsidRDefault="00000000">
      <w:pPr>
        <w:pStyle w:val="Heading1"/>
      </w:pPr>
      <w:r>
        <w:lastRenderedPageBreak/>
        <w:t>References</w:t>
      </w:r>
    </w:p>
    <w:p w14:paraId="3C383EF8" w14:textId="77777777" w:rsidR="00B657A0" w:rsidRDefault="00000000">
      <w:pPr>
        <w:ind w:left="720" w:hanging="720"/>
      </w:pPr>
      <w:r>
        <w:t xml:space="preserve">Alicke, K., Dilda, V., Görner, S., Mori, L., </w:t>
      </w:r>
      <w:proofErr w:type="spellStart"/>
      <w:r>
        <w:t>Rebuffel</w:t>
      </w:r>
      <w:proofErr w:type="spellEnd"/>
      <w:r>
        <w:t xml:space="preserve">, P., Reiter, S., &amp; Samek, R. (2021, April 30). </w:t>
      </w:r>
      <w:r>
        <w:rPr>
          <w:i/>
          <w:iCs/>
        </w:rPr>
        <w:t>Succeeding in the AI supply-chain revolution</w:t>
      </w:r>
      <w:r>
        <w:t>. McKinsey &amp; Company. https://www.mckinsey.com/industries/metals-and-mining/our-insights/succeeding-in-the-ai-supply-chain-revolution</w:t>
      </w:r>
    </w:p>
    <w:p w14:paraId="54D48DE7" w14:textId="607BC47B" w:rsidR="00B657A0" w:rsidRDefault="00000000">
      <w:pPr>
        <w:ind w:left="720" w:hanging="720"/>
      </w:pPr>
      <w:r>
        <w:t xml:space="preserve">Altman, S. A., &amp; Bastian, C. R. (2026). </w:t>
      </w:r>
      <w:r>
        <w:rPr>
          <w:i/>
          <w:iCs/>
        </w:rPr>
        <w:t>DHL global connectedness tracker</w:t>
      </w:r>
      <w:r>
        <w:t xml:space="preserve"> (March 2026 ed.). DHL Group. </w:t>
      </w:r>
      <w:hyperlink r:id="rId7" w:history="1">
        <w:r w:rsidR="00795390" w:rsidRPr="00CB78A5">
          <w:rPr>
            <w:rStyle w:val="Hyperlink"/>
          </w:rPr>
          <w:t>https://www.dhl.com/global-en/microsites/core/global-connectedness/tracker.html</w:t>
        </w:r>
      </w:hyperlink>
    </w:p>
    <w:p w14:paraId="2A7F1818" w14:textId="5CB042F6" w:rsidR="00795390" w:rsidRDefault="00795390">
      <w:pPr>
        <w:ind w:left="720" w:hanging="720"/>
      </w:pPr>
      <w:r>
        <w:t xml:space="preserve">Salem Mostafa (2026). CNN </w:t>
      </w:r>
      <w:r w:rsidRPr="00795390">
        <w:t>https://www.cnn.com/2026/09/10/middleeast/houthis-capture-mocha-red-sea-strait-intl</w:t>
      </w:r>
    </w:p>
    <w:p w14:paraId="7954C0A3" w14:textId="77777777" w:rsidR="00B657A0" w:rsidRDefault="00000000">
      <w:pPr>
        <w:ind w:left="720" w:hanging="720"/>
      </w:pPr>
      <w:r>
        <w:t xml:space="preserve">Armstrong &amp; Associates, Inc. (2026). </w:t>
      </w:r>
      <w:r>
        <w:rPr>
          <w:i/>
          <w:iCs/>
        </w:rPr>
        <w:t>Global 3PL market size estimates</w:t>
      </w:r>
      <w:r>
        <w:t>. https://www.3plogistics.com/3pl-market-info-resources/3pl-market-information/global-3pl-market-size-estimates/</w:t>
      </w:r>
    </w:p>
    <w:p w14:paraId="436F38BB" w14:textId="77777777" w:rsidR="00B657A0" w:rsidRDefault="00000000">
      <w:pPr>
        <w:ind w:left="720" w:hanging="720"/>
      </w:pPr>
      <w:r>
        <w:t xml:space="preserve">C.H. Robinson Worldwide, Inc. (2026a, July 29). </w:t>
      </w:r>
      <w:r>
        <w:rPr>
          <w:i/>
          <w:iCs/>
        </w:rPr>
        <w:t>C.H. Robinson reports 2026 second quarter results</w:t>
      </w:r>
      <w:r>
        <w:t xml:space="preserve"> [Press release]. https://investor.chrobinson.com/news/press-releases/news-details/2026/C-H--Robinson-Reports-2026-Second-Quarter-Results/default.aspx</w:t>
      </w:r>
    </w:p>
    <w:p w14:paraId="1CE04004" w14:textId="77777777" w:rsidR="00B657A0" w:rsidRDefault="00000000">
      <w:pPr>
        <w:ind w:left="720" w:hanging="720"/>
      </w:pPr>
      <w:r>
        <w:t xml:space="preserve">C.H. Robinson Worldwide, Inc. (2026b, February 13). </w:t>
      </w:r>
      <w:r>
        <w:rPr>
          <w:i/>
          <w:iCs/>
        </w:rPr>
        <w:t>With AI, C.H. Robinson is the disruptor</w:t>
      </w:r>
      <w:r>
        <w:t>. https://www.chrobinson.com/en-us/about-us/newsroom/news/2026/ai-disruptor-ch-robinson/</w:t>
      </w:r>
    </w:p>
    <w:p w14:paraId="6204AA60" w14:textId="77777777" w:rsidR="00B657A0" w:rsidRDefault="00000000">
      <w:pPr>
        <w:ind w:left="720" w:hanging="720"/>
      </w:pPr>
      <w:r>
        <w:t xml:space="preserve">DHL Group. (2026, September 24). </w:t>
      </w:r>
      <w:r>
        <w:rPr>
          <w:i/>
          <w:iCs/>
        </w:rPr>
        <w:t xml:space="preserve">AI </w:t>
      </w:r>
      <w:proofErr w:type="gramStart"/>
      <w:r>
        <w:rPr>
          <w:i/>
          <w:iCs/>
        </w:rPr>
        <w:t>takes action</w:t>
      </w:r>
      <w:proofErr w:type="gramEnd"/>
      <w:r>
        <w:rPr>
          <w:i/>
          <w:iCs/>
        </w:rPr>
        <w:t xml:space="preserve"> while people remain at the center of logistics, finds DHL Logistics Trend Radar</w:t>
      </w:r>
      <w:r>
        <w:t xml:space="preserve"> [Press release]. https://group.dhl.com/en/media-relations/press-releases/2026/ai-takes-action-while-people-remain-at-the-center-of-logistics-finds-dhl-logistics-trend-radar.html</w:t>
      </w:r>
    </w:p>
    <w:p w14:paraId="6809054E" w14:textId="77777777" w:rsidR="00B657A0" w:rsidRDefault="00000000">
      <w:pPr>
        <w:ind w:left="720" w:hanging="720"/>
      </w:pPr>
      <w:r>
        <w:lastRenderedPageBreak/>
        <w:t xml:space="preserve">Garro, A., Caffrey, H., Shetty, R., Dunn, S., </w:t>
      </w:r>
      <w:proofErr w:type="spellStart"/>
      <w:r>
        <w:t>Sieke</w:t>
      </w:r>
      <w:proofErr w:type="spellEnd"/>
      <w:r>
        <w:t xml:space="preserve">, M., &amp; Cheraghi, F. (2026, February 25). </w:t>
      </w:r>
      <w:r>
        <w:rPr>
          <w:i/>
          <w:iCs/>
        </w:rPr>
        <w:t>Supply chain planning 2026: Why AI alone isn't enough</w:t>
      </w:r>
      <w:r>
        <w:t>. Boston Consulting Group. https://www.bcg.com/publications/2026/supply-chain-planning-why-ai-alone-isnt-enough</w:t>
      </w:r>
    </w:p>
    <w:p w14:paraId="3D1D78C6" w14:textId="77777777" w:rsidR="00B657A0" w:rsidRDefault="00000000">
      <w:pPr>
        <w:ind w:left="720" w:hanging="720"/>
      </w:pPr>
      <w:r>
        <w:t xml:space="preserve">Gartner. (2025, June 25). </w:t>
      </w:r>
      <w:r>
        <w:rPr>
          <w:i/>
          <w:iCs/>
        </w:rPr>
        <w:t>Gartner predicts over 40% of agentic AI projects will be canceled by end of 2027</w:t>
      </w:r>
      <w:r>
        <w:t xml:space="preserve"> [Press release]. https://www.gartner.com/en/newsroom/press-releases/2025-06-25-gartner-predicts-over-40-percent-of-agentic-ai-projects-will-be-canceled-by-end-of-2027</w:t>
      </w:r>
    </w:p>
    <w:p w14:paraId="2EAF0BF0" w14:textId="77777777" w:rsidR="00B657A0" w:rsidRDefault="00000000">
      <w:pPr>
        <w:ind w:left="720" w:hanging="720"/>
      </w:pPr>
      <w:r>
        <w:t xml:space="preserve">Kahn, J. (2026, July 14). The secrets of an unheralded AI success story. </w:t>
      </w:r>
      <w:r>
        <w:rPr>
          <w:i/>
          <w:iCs/>
        </w:rPr>
        <w:t>Fortune</w:t>
      </w:r>
      <w:r>
        <w:t>. https://fortune.com/2026/07/14/c-h-robinson-ai-success-secrets-dave-bozeman/</w:t>
      </w:r>
    </w:p>
    <w:p w14:paraId="0C69BF05" w14:textId="77777777" w:rsidR="00B657A0" w:rsidRDefault="00000000">
      <w:pPr>
        <w:ind w:left="720" w:hanging="720"/>
      </w:pPr>
      <w:r>
        <w:t xml:space="preserve">MHI. (2026, April 15). </w:t>
      </w:r>
      <w:r>
        <w:rPr>
          <w:i/>
          <w:iCs/>
        </w:rPr>
        <w:t>New MHI and Deloitte report finds AI is biggest disruptor of supply chains over the next decade</w:t>
      </w:r>
      <w:r>
        <w:t xml:space="preserve"> [Press release]. Yahoo Finance. https://finance.yahoo.com/sectors/technology/articles/mhi-deloitte-report-finds-ai-171000075.html</w:t>
      </w:r>
    </w:p>
    <w:p w14:paraId="4FD1EB92" w14:textId="77777777" w:rsidR="00B657A0" w:rsidRDefault="00000000">
      <w:pPr>
        <w:ind w:left="720" w:hanging="720"/>
      </w:pPr>
      <w:proofErr w:type="spellStart"/>
      <w:r>
        <w:t>Schnellbächer</w:t>
      </w:r>
      <w:proofErr w:type="spellEnd"/>
      <w:r>
        <w:t xml:space="preserve">, W., Vigen, T., &amp; </w:t>
      </w:r>
      <w:proofErr w:type="spellStart"/>
      <w:r>
        <w:t>Oleynikova</w:t>
      </w:r>
      <w:proofErr w:type="spellEnd"/>
      <w:r>
        <w:t xml:space="preserve">, Y. (2025, April 18). </w:t>
      </w:r>
      <w:r>
        <w:rPr>
          <w:i/>
          <w:iCs/>
        </w:rPr>
        <w:t>GenAI in procurement: From buzz to bottom-line cost reductions</w:t>
      </w:r>
      <w:r>
        <w:t>. Boston Consulting Group. https://www.bcg.com/publications/2025/from-buzz-to-bottom-line-cost-reductions-using-genai</w:t>
      </w:r>
    </w:p>
    <w:sectPr w:rsidR="00B657A0">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B9807" w14:textId="77777777" w:rsidR="007C49B8" w:rsidRDefault="007C49B8">
      <w:pPr>
        <w:spacing w:line="240" w:lineRule="auto"/>
      </w:pPr>
      <w:r>
        <w:separator/>
      </w:r>
    </w:p>
  </w:endnote>
  <w:endnote w:type="continuationSeparator" w:id="0">
    <w:p w14:paraId="3F187DEC" w14:textId="77777777" w:rsidR="007C49B8" w:rsidRDefault="007C4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0561F" w14:textId="77777777" w:rsidR="007C49B8" w:rsidRDefault="007C49B8">
      <w:pPr>
        <w:spacing w:line="240" w:lineRule="auto"/>
      </w:pPr>
      <w:r>
        <w:separator/>
      </w:r>
    </w:p>
  </w:footnote>
  <w:footnote w:type="continuationSeparator" w:id="0">
    <w:p w14:paraId="706F262D" w14:textId="77777777" w:rsidR="007C49B8" w:rsidRDefault="007C49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1E58" w14:textId="77777777" w:rsidR="00B657A0" w:rsidRDefault="00000000">
    <w:pPr>
      <w:jc w:val="right"/>
    </w:pPr>
    <w:r>
      <w:fldChar w:fldCharType="begin"/>
    </w:r>
    <w:r>
      <w:instrText>PAGE</w:instrText>
    </w:r>
    <w:r>
      <w:fldChar w:fldCharType="separate"/>
    </w:r>
    <w:r w:rsidR="00EB1AC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B2C67"/>
    <w:multiLevelType w:val="hybridMultilevel"/>
    <w:tmpl w:val="24CE78C0"/>
    <w:lvl w:ilvl="0" w:tplc="CB644574">
      <w:start w:val="1"/>
      <w:numFmt w:val="bullet"/>
      <w:lvlText w:val="●"/>
      <w:lvlJc w:val="left"/>
      <w:pPr>
        <w:ind w:left="720" w:hanging="360"/>
      </w:pPr>
    </w:lvl>
    <w:lvl w:ilvl="1" w:tplc="E28A70DE">
      <w:start w:val="1"/>
      <w:numFmt w:val="bullet"/>
      <w:lvlText w:val="○"/>
      <w:lvlJc w:val="left"/>
      <w:pPr>
        <w:ind w:left="1440" w:hanging="360"/>
      </w:pPr>
    </w:lvl>
    <w:lvl w:ilvl="2" w:tplc="4DFEA26A">
      <w:start w:val="1"/>
      <w:numFmt w:val="bullet"/>
      <w:lvlText w:val="■"/>
      <w:lvlJc w:val="left"/>
      <w:pPr>
        <w:ind w:left="2160" w:hanging="360"/>
      </w:pPr>
    </w:lvl>
    <w:lvl w:ilvl="3" w:tplc="393052D0">
      <w:start w:val="1"/>
      <w:numFmt w:val="bullet"/>
      <w:lvlText w:val="●"/>
      <w:lvlJc w:val="left"/>
      <w:pPr>
        <w:ind w:left="2880" w:hanging="360"/>
      </w:pPr>
    </w:lvl>
    <w:lvl w:ilvl="4" w:tplc="78642C0A">
      <w:start w:val="1"/>
      <w:numFmt w:val="bullet"/>
      <w:lvlText w:val="○"/>
      <w:lvlJc w:val="left"/>
      <w:pPr>
        <w:ind w:left="3600" w:hanging="360"/>
      </w:pPr>
    </w:lvl>
    <w:lvl w:ilvl="5" w:tplc="D1BA4A38">
      <w:start w:val="1"/>
      <w:numFmt w:val="bullet"/>
      <w:lvlText w:val="■"/>
      <w:lvlJc w:val="left"/>
      <w:pPr>
        <w:ind w:left="4320" w:hanging="360"/>
      </w:pPr>
    </w:lvl>
    <w:lvl w:ilvl="6" w:tplc="BA025CC6">
      <w:start w:val="1"/>
      <w:numFmt w:val="bullet"/>
      <w:lvlText w:val="●"/>
      <w:lvlJc w:val="left"/>
      <w:pPr>
        <w:ind w:left="5040" w:hanging="360"/>
      </w:pPr>
    </w:lvl>
    <w:lvl w:ilvl="7" w:tplc="7FFEB02E">
      <w:start w:val="1"/>
      <w:numFmt w:val="bullet"/>
      <w:lvlText w:val="●"/>
      <w:lvlJc w:val="left"/>
      <w:pPr>
        <w:ind w:left="5760" w:hanging="360"/>
      </w:pPr>
    </w:lvl>
    <w:lvl w:ilvl="8" w:tplc="802EF330">
      <w:start w:val="1"/>
      <w:numFmt w:val="bullet"/>
      <w:lvlText w:val="●"/>
      <w:lvlJc w:val="left"/>
      <w:pPr>
        <w:ind w:left="6480" w:hanging="360"/>
      </w:pPr>
    </w:lvl>
  </w:abstractNum>
  <w:abstractNum w:abstractNumId="1" w15:restartNumberingAfterBreak="0">
    <w:nsid w:val="6C106BD8"/>
    <w:multiLevelType w:val="hybridMultilevel"/>
    <w:tmpl w:val="FA10EE62"/>
    <w:lvl w:ilvl="0" w:tplc="D60E4DEA">
      <w:start w:val="1"/>
      <w:numFmt w:val="decimal"/>
      <w:lvlText w:val="%1."/>
      <w:lvlJc w:val="left"/>
      <w:pPr>
        <w:ind w:left="720" w:hanging="360"/>
      </w:pPr>
    </w:lvl>
    <w:lvl w:ilvl="1" w:tplc="9410B48E">
      <w:numFmt w:val="decimal"/>
      <w:lvlText w:val=""/>
      <w:lvlJc w:val="left"/>
    </w:lvl>
    <w:lvl w:ilvl="2" w:tplc="27BCD87C">
      <w:numFmt w:val="decimal"/>
      <w:lvlText w:val=""/>
      <w:lvlJc w:val="left"/>
    </w:lvl>
    <w:lvl w:ilvl="3" w:tplc="9B58121C">
      <w:numFmt w:val="decimal"/>
      <w:lvlText w:val=""/>
      <w:lvlJc w:val="left"/>
    </w:lvl>
    <w:lvl w:ilvl="4" w:tplc="3FAE6556">
      <w:numFmt w:val="decimal"/>
      <w:lvlText w:val=""/>
      <w:lvlJc w:val="left"/>
    </w:lvl>
    <w:lvl w:ilvl="5" w:tplc="F4086418">
      <w:numFmt w:val="decimal"/>
      <w:lvlText w:val=""/>
      <w:lvlJc w:val="left"/>
    </w:lvl>
    <w:lvl w:ilvl="6" w:tplc="656418CE">
      <w:numFmt w:val="decimal"/>
      <w:lvlText w:val=""/>
      <w:lvlJc w:val="left"/>
    </w:lvl>
    <w:lvl w:ilvl="7" w:tplc="1648182E">
      <w:numFmt w:val="decimal"/>
      <w:lvlText w:val=""/>
      <w:lvlJc w:val="left"/>
    </w:lvl>
    <w:lvl w:ilvl="8" w:tplc="16C261F4">
      <w:numFmt w:val="decimal"/>
      <w:lvlText w:val=""/>
      <w:lvlJc w:val="left"/>
    </w:lvl>
  </w:abstractNum>
  <w:num w:numId="1" w16cid:durableId="1180436637">
    <w:abstractNumId w:val="0"/>
    <w:lvlOverride w:ilvl="0">
      <w:startOverride w:val="1"/>
    </w:lvlOverride>
  </w:num>
  <w:num w:numId="2" w16cid:durableId="1645965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A0"/>
    <w:rsid w:val="00077A51"/>
    <w:rsid w:val="001755BE"/>
    <w:rsid w:val="00733827"/>
    <w:rsid w:val="00795390"/>
    <w:rsid w:val="007C49B8"/>
    <w:rsid w:val="00B657A0"/>
    <w:rsid w:val="00EB1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B450C7"/>
  <w15:docId w15:val="{3AB5109D-5344-A94B-810D-00876D7B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jc w:val="center"/>
      <w:outlineLvl w:val="0"/>
    </w:pPr>
    <w:rPr>
      <w:b/>
      <w:bCs/>
      <w:color w:val="000000"/>
    </w:rPr>
  </w:style>
  <w:style w:type="paragraph" w:styleId="Heading2">
    <w:name w:val="heading 2"/>
    <w:uiPriority w:val="9"/>
    <w:unhideWhenUsed/>
    <w:qFormat/>
    <w:pPr>
      <w:keepNext/>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5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hl.com/global-en/microsites/core/global-connectedness/track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1440</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From Parcels to Predictions: How AI Keeps Logistics Aligned With Strategy</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Parcels to Predictions: How AI Keeps Logistics Aligned With Strategy</dc:title>
  <dc:creator>Amar Mohite</dc:creator>
  <dc:description>MGT/526 Week 3 assessment, APA 7 student paper format</dc:description>
  <cp:lastModifiedBy>Amar Gajanan Mohite</cp:lastModifiedBy>
  <cp:revision>3</cp:revision>
  <dcterms:created xsi:type="dcterms:W3CDTF">2026-09-29T04:36:00Z</dcterms:created>
  <dcterms:modified xsi:type="dcterms:W3CDTF">2026-09-29T05:00:00Z</dcterms:modified>
</cp:coreProperties>
</file>