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Community Resilience Analysis Library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document provides a compact overview of the Community Resilience Analysis Library — a Python-based toolkit designed to evaluate community recovery following disasters using mobility data. GitHub: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https://github.com/amarnath-reddy-0-9-1-2/Resilience/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library helps researchers and analysts quantify and visualize how communities recover from disasters using human mobility data. It supports two key models — the Resilience Triangle Model and the Area Under the Curve (AUC) Model — to measure the speed and quality of recovery over time.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2. Disaster Context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primary dataset used is `portarthur_sd_df_2019.rdata`, focusing on Port Arthur, Texas. The analysis centers around Tropical Storm Imelda, which impacted the region between September 17 and September 27, 2019.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3. Key Models &amp; Functionality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library implements two core models: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Resilience Triangle Model – Measures how quickly a community returns to pre-disaster conditions, calculating both recovery speed and depth.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Area Under the Curve (AUC) Model – Quantifies total impact by calculating area-based loss and recovery over time.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 functionalities include: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Preparation – Load and preprocess SafeGraph mobility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Resilience Metrics Calculation – Automatically compute key recovery indicators.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Visualization – Generate plots to illustrate resilience and recovery trends.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Batch Processing – Run resilience analysis across all CBGs and export results to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4. References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bookmarkStart w:colFirst="0" w:colLast="0" w:name="_aoe5dn602wv4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Hong, H., Liu, L., Peng, Z.-R., &amp; Li, W. (2021).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Measuring inequality in community resilience to natural disasters using large-scale mobility data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. Nature Communications, 12(1), 1870.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https://doi.org/10.1038/s41467-021-22177-2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Rule="auto"/>
        <w:ind w:left="0" w:firstLine="0"/>
        <w:rPr>
          <w:rFonts w:ascii="Calibri" w:cs="Calibri" w:eastAsia="Calibri" w:hAnsi="Calibri"/>
          <w:b w:val="1"/>
          <w:color w:val="366091"/>
        </w:rPr>
      </w:pPr>
      <w:bookmarkStart w:colFirst="0" w:colLast="0" w:name="_mwu55bqgfap3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[2] Chen, K., Hu, S., Hong, H., &amp; Peng, Z.-R. (2024).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Community resilience to wildfires: A network analysis approach by utilizing human mobility data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 Computers, Environment and Urban Systems, 104, 102032. 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https://doi.org/10.1016/j.compenvurbsys.2023.102032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240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16qwykv5yi3w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609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. Folder Structure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6420"/>
        <w:tblGridChange w:id="0">
          <w:tblGrid>
            <w:gridCol w:w="2220"/>
            <w:gridCol w:w="6420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Folder/File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Detailed Description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data/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Contains the raw mobility data files required for analysis. Example: 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`portarthur_sd_df_2019.rdata`, which stores SafeGraph mobility data for Port Arthur. 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`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tl_2019_48_bg.zip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` has geographic data of the Texas region.</w:t>
            </w:r>
          </w:p>
        </w:tc>
      </w:tr>
      <w:tr>
        <w:trPr>
          <w:cantSplit w:val="0"/>
          <w:trHeight w:val="15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models/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Includes core implementation of resilience models:</w:t>
              <w:br w:type="textWrapping"/>
              <w:t xml:space="preserve">• `resilience_auc.py`: Implements the Area Under Curve (AUC) model to calculate the area loss and recovery after a disaster.</w:t>
              <w:br w:type="textWrapping"/>
              <w:t xml:space="preserve">• `resilience_triangle.py`: Implements the Resilience Triangle model to measure loss and recovery using geometric triangle-based methods.</w:t>
            </w:r>
          </w:p>
        </w:tc>
      </w:tr>
      <w:tr>
        <w:trPr>
          <w:cantSplit w:val="0"/>
          <w:trHeight w:val="2414.199218749999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notebooks/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Interactive Jupyter notebooks to test and debug the model logic:</w:t>
              <w:br w:type="textWrapping"/>
              <w:t xml:space="preserve">• `mobility_patterns.ipynb`: Analyzes mobility data trends across various granularities.</w:t>
              <w:br w:type="textWrapping"/>
              <w:t xml:space="preserve">• `resilience_auc.ipynb`: Runs and visualizes AUC model for a specific Census Block Group (CBG).</w:t>
              <w:br w:type="textWrapping"/>
              <w:t xml:space="preserve">• `resilience_triangle.ipynb`: Executes and visualizes Triangle model for a specific CBG.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• `geographic_patterns.ipynb`: This will  generate geographic maps based on the data.</w:t>
            </w:r>
          </w:p>
        </w:tc>
      </w:tr>
      <w:tr>
        <w:trPr>
          <w:cantSplit w:val="0"/>
          <w:trHeight w:val="1910.439453124999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run_examples/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Standalone example scripts to run models easily:</w:t>
              <w:br w:type="textWrapping"/>
              <w:t xml:space="preserve">• `batch_processing.py`: Applies the Triangle model to all CBGs and outputs a summary CSV.</w:t>
              <w:br w:type="textWrapping"/>
              <w:t xml:space="preserve">• `run_auc_example.py`: Demonstrates running the AUC model for one CBG.</w:t>
              <w:br w:type="textWrapping"/>
              <w:t xml:space="preserve">• `run_triangle_example.py`: Demonstrates running the Triangle model for one CBG.</w:t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visualization/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Functions to create visual and textual output:</w:t>
              <w:br w:type="textWrapping"/>
              <w:t xml:space="preserve">• `graph_visualization.py`: Plots mobility and resilience curves for each region.</w:t>
              <w:br w:type="textWrapping"/>
              <w:t xml:space="preserve">• `log_visualizations.py`: Logs model metrics in a human-readable, well-formatted way.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utils.py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General-purpose utility functions used across the project. Includes helpers for smoothing, normalization, and date handling.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data_processing.py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Responsible for loading, cleaning, and preprocessing SafeGraph mobility data. Prepares the dataset for modeling.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results/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Stores all generated outputs: CSV results, resilience patterns, geo patterns, mobility patterns from model runs. Used to review or share analysis findings. More explanation in the results section.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. Results and Analysis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images and the CSV files are available in the results folder. Here are a few observations from the results: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1. All the CBG results are available in the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cbg_resilience_summary.csv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file.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Filtered CBGs that show a clear trend are stored 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cbg_resilience_summary_filtered.csv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The ‘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resilience_patterns’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folder contains visualizations for one individual CBG using both models.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The ‘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mobility_patterns’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folder contains overall mobility patterns at different levels.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The ‘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geo_patterns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folder’ contains the geographic plots based on the model data on the map.</w:t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Key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Out of 309 CBGs, around 222 CBGs showed a clear trend for Hurricane Imelda.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The results are sensitive to hyperparameters such as:</w:t>
        <w:br w:type="textWrapping"/>
        <w:t xml:space="preserve">   - Baseline value</w:t>
        <w:br w:type="textWrapping"/>
        <w:t xml:space="preserve">   - Smoothing period</w:t>
        <w:br w:type="textWrapping"/>
        <w:t xml:space="preserve">   - Disaster timeline (some CBGs showed trends slightly after the disaster period)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Consistent Dip During Disaster (Sep 17–27, 2019):</w:t>
        <w:br w:type="textWrapping"/>
        <w:t xml:space="preserve">   All regions (CBGs/counties) show a sharp decline in inflow or in-degree, confirming disruption in daily mobility.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Varying Recovery Patterns Across Regions:</w:t>
        <w:br w:type="textWrapping"/>
        <w:t xml:space="preserve">   - Jefferson County shows faster recovery, indicating stronger resilience.</w:t>
        <w:br w:type="textWrapping"/>
        <w:t xml:space="preserve">   - Orange and Jeff Davis Counties show delayed/weaker recovery, indicating lower resilience.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Resilience Triangle Area Reflects Recovery Efficiency:</w:t>
        <w:br w:type="textWrapping"/>
        <w:t xml:space="preserve">   - Smaller triangle area → quicker mobility recovery and higher resilience.</w:t>
        <w:br w:type="textWrapping"/>
        <w:t xml:space="preserve">   - Larger triangle area → prolonged disruption and lower resilience.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Aggregated Trends Mask Local Disparities:</w:t>
        <w:br w:type="textWrapping"/>
        <w:t xml:space="preserve">   - Metro-level aggregation hides local variations.</w:t>
        <w:br w:type="textWrapping"/>
        <w:t xml:space="preserve">   - CBG-level plots reveal specific mobility dynamics and localized recovery trends.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Pre-Disaster Baseline is Crucial:</w:t>
        <w:br w:type="textWrapping"/>
        <w:t xml:space="preserve">   - Calculated as 2-month average before disaster.</w:t>
        <w:br w:type="textWrapping"/>
        <w:t xml:space="preserve">   - Enables identification of dip (tD) and recovery (t1) points.</w:t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Summary Statistics:</w:t>
        <w:br w:type="textWrapping"/>
        <w:t xml:space="preserve">   - Average Resilience: 15.43% ,  Average Robustness: 0.288, Average Vulnerability: 0.0049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arnath-reddy-0-9-1-2/Resilience/" TargetMode="External"/><Relationship Id="rId7" Type="http://schemas.openxmlformats.org/officeDocument/2006/relationships/hyperlink" Target="https://doi.org/10.1038/s41467-021-22177-2" TargetMode="External"/><Relationship Id="rId8" Type="http://schemas.openxmlformats.org/officeDocument/2006/relationships/hyperlink" Target="https://doi.org/10.1016/j.compenvurbsys.2023.1020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